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1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1"/>
        <w:gridCol w:w="1650"/>
        <w:gridCol w:w="2320"/>
        <w:gridCol w:w="202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181"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lang w:val="en-US" w:eastAsia="zh-CN"/>
              </w:rPr>
            </w:pPr>
            <w:r>
              <w:rPr>
                <w:rFonts w:hint="eastAsia" w:ascii="宋体" w:hAnsi="宋体" w:cs="宋体"/>
                <w:b/>
                <w:i w:val="0"/>
                <w:color w:val="000000"/>
                <w:sz w:val="24"/>
                <w:szCs w:val="24"/>
                <w:u w:val="none"/>
                <w:lang w:val="en-US" w:eastAsia="zh-CN"/>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181" w:type="dxa"/>
            <w:gridSpan w:val="5"/>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36"/>
                <w:szCs w:val="36"/>
                <w:u w:val="none"/>
                <w:lang w:val="en-US" w:eastAsia="zh-CN" w:bidi="ar"/>
              </w:rPr>
              <w:t>2019年城市地质专项资金分配方案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用款单位</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项目内容</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支出明细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广东</w:t>
            </w:r>
            <w:bookmarkStart w:id="0" w:name="_GoBack"/>
            <w:bookmarkEnd w:id="0"/>
            <w:r>
              <w:rPr>
                <w:rFonts w:hint="eastAsia" w:ascii="宋体" w:hAnsi="宋体" w:eastAsia="宋体" w:cs="宋体"/>
                <w:i w:val="0"/>
                <w:color w:val="000000"/>
                <w:kern w:val="0"/>
                <w:sz w:val="24"/>
                <w:szCs w:val="24"/>
                <w:u w:val="none"/>
                <w:lang w:val="en-US" w:eastAsia="zh-CN" w:bidi="ar"/>
              </w:rPr>
              <w:t>省地质调查院</w:t>
            </w:r>
          </w:p>
        </w:tc>
        <w:tc>
          <w:tcPr>
            <w:tcW w:w="23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广深科技创新走廊地下空间资源地质调查与安全评估</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1.地形测绘</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2.地质</w:t>
            </w:r>
            <w:r>
              <w:rPr>
                <w:rFonts w:hint="eastAsia" w:ascii="仿宋" w:hAnsi="仿宋" w:eastAsia="仿宋" w:cs="仿宋"/>
                <w:b w:val="0"/>
                <w:bCs w:val="0"/>
                <w:i w:val="0"/>
                <w:color w:val="000000"/>
                <w:kern w:val="0"/>
                <w:sz w:val="22"/>
                <w:szCs w:val="22"/>
                <w:u w:val="none"/>
                <w:lang w:val="en-US" w:eastAsia="zh-CN" w:bidi="ar"/>
              </w:rPr>
              <w:t>测量</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3.遥感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4.物化探</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5.钻探</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6.剖面开挖</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7.岩矿试验</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8.其他地质工作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9.工地建筑</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省国土资源技术中心</w:t>
            </w:r>
          </w:p>
        </w:tc>
        <w:tc>
          <w:tcPr>
            <w:tcW w:w="23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广东省城市地质信息管理服务平台建设</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1.委托业务费</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2.办公设备购置或信息网络设备购置</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3.其他费用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2725</w:t>
            </w:r>
          </w:p>
        </w:tc>
      </w:tr>
    </w:tbl>
    <w:p>
      <w:pPr>
        <w:rPr>
          <w:rFonts w:hint="eastAsia" w:ascii="仿宋" w:hAnsi="仿宋" w:eastAsia="仿宋" w:cs="仿宋"/>
          <w:color w:val="auto"/>
          <w:sz w:val="32"/>
          <w:szCs w:val="32"/>
          <w:lang w:val="en-US" w:eastAsia="zh-CN"/>
        </w:rPr>
      </w:pPr>
    </w:p>
    <w:p>
      <w:pPr>
        <w:sectPr>
          <w:pgSz w:w="11906" w:h="16838"/>
          <w:pgMar w:top="1440" w:right="1800" w:bottom="1440" w:left="1800" w:header="851" w:footer="992" w:gutter="0"/>
          <w:cols w:space="720" w:num="1"/>
          <w:docGrid w:type="lines" w:linePitch="312" w:charSpace="0"/>
        </w:sectPr>
      </w:pPr>
    </w:p>
    <w:tbl>
      <w:tblPr>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12"/>
        <w:gridCol w:w="1527"/>
        <w:gridCol w:w="880"/>
        <w:gridCol w:w="879"/>
        <w:gridCol w:w="2064"/>
        <w:gridCol w:w="3730"/>
        <w:gridCol w:w="887"/>
        <w:gridCol w:w="887"/>
        <w:gridCol w:w="880"/>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6" w:hRule="atLeast"/>
        </w:trPr>
        <w:tc>
          <w:tcPr>
            <w:tcW w:w="712" w:type="dxa"/>
            <w:shd w:val="clear"/>
            <w:vAlign w:val="center"/>
          </w:tcPr>
          <w:p>
            <w:pPr>
              <w:rPr>
                <w:rFonts w:hint="eastAsia" w:ascii="宋体" w:hAnsi="宋体" w:eastAsia="宋体" w:cs="宋体"/>
                <w:i w:val="0"/>
                <w:color w:val="000000"/>
                <w:sz w:val="22"/>
                <w:szCs w:val="22"/>
                <w:u w:val="none"/>
              </w:rPr>
            </w:pPr>
          </w:p>
        </w:tc>
        <w:tc>
          <w:tcPr>
            <w:tcW w:w="13268" w:type="dxa"/>
            <w:gridSpan w:val="9"/>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default" w:ascii="方正小标宋简体" w:hAnsi="方正小标宋简体" w:eastAsia="方正小标宋简体" w:cs="方正小标宋简体"/>
                <w:i w:val="0"/>
                <w:color w:val="000000"/>
                <w:kern w:val="0"/>
                <w:sz w:val="48"/>
                <w:szCs w:val="48"/>
                <w:u w:val="none"/>
                <w:lang w:val="en-US" w:eastAsia="zh-CN" w:bidi="ar"/>
              </w:rPr>
              <w:t>2019年城市地质工作专项资金目录清单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86" w:hRule="atLeast"/>
        </w:trPr>
        <w:tc>
          <w:tcPr>
            <w:tcW w:w="712" w:type="dxa"/>
            <w:shd w:val="clear"/>
            <w:vAlign w:val="center"/>
          </w:tcPr>
          <w:p>
            <w:pPr>
              <w:rPr>
                <w:rFonts w:hint="eastAsia" w:ascii="宋体" w:hAnsi="宋体" w:eastAsia="宋体" w:cs="宋体"/>
                <w:i w:val="0"/>
                <w:color w:val="000000"/>
                <w:sz w:val="22"/>
                <w:szCs w:val="22"/>
                <w:u w:val="none"/>
              </w:rPr>
            </w:pPr>
          </w:p>
        </w:tc>
        <w:tc>
          <w:tcPr>
            <w:tcW w:w="1527" w:type="dxa"/>
            <w:shd w:val="clear"/>
            <w:vAlign w:val="center"/>
          </w:tcPr>
          <w:p>
            <w:pPr>
              <w:rPr>
                <w:rFonts w:hint="eastAsia" w:ascii="宋体" w:hAnsi="宋体" w:eastAsia="宋体" w:cs="宋体"/>
                <w:i w:val="0"/>
                <w:color w:val="000000"/>
                <w:sz w:val="22"/>
                <w:szCs w:val="22"/>
                <w:u w:val="none"/>
              </w:rPr>
            </w:pPr>
          </w:p>
        </w:tc>
        <w:tc>
          <w:tcPr>
            <w:tcW w:w="880" w:type="dxa"/>
            <w:shd w:val="clear"/>
            <w:vAlign w:val="center"/>
          </w:tcPr>
          <w:p>
            <w:pPr>
              <w:rPr>
                <w:rFonts w:hint="eastAsia" w:ascii="宋体" w:hAnsi="宋体" w:eastAsia="宋体" w:cs="宋体"/>
                <w:i w:val="0"/>
                <w:color w:val="000000"/>
                <w:sz w:val="22"/>
                <w:szCs w:val="22"/>
                <w:u w:val="none"/>
              </w:rPr>
            </w:pPr>
          </w:p>
        </w:tc>
        <w:tc>
          <w:tcPr>
            <w:tcW w:w="879" w:type="dxa"/>
            <w:shd w:val="clear"/>
            <w:vAlign w:val="center"/>
          </w:tcPr>
          <w:p>
            <w:pPr>
              <w:rPr>
                <w:rFonts w:hint="eastAsia" w:ascii="宋体" w:hAnsi="宋体" w:eastAsia="宋体" w:cs="宋体"/>
                <w:i w:val="0"/>
                <w:color w:val="000000"/>
                <w:sz w:val="22"/>
                <w:szCs w:val="22"/>
                <w:u w:val="none"/>
              </w:rPr>
            </w:pPr>
          </w:p>
        </w:tc>
        <w:tc>
          <w:tcPr>
            <w:tcW w:w="2064" w:type="dxa"/>
            <w:shd w:val="clear"/>
            <w:vAlign w:val="center"/>
          </w:tcPr>
          <w:p>
            <w:pPr>
              <w:rPr>
                <w:rFonts w:hint="eastAsia" w:ascii="宋体" w:hAnsi="宋体" w:eastAsia="宋体" w:cs="宋体"/>
                <w:i w:val="0"/>
                <w:color w:val="000000"/>
                <w:sz w:val="22"/>
                <w:szCs w:val="22"/>
                <w:u w:val="none"/>
              </w:rPr>
            </w:pPr>
          </w:p>
        </w:tc>
        <w:tc>
          <w:tcPr>
            <w:tcW w:w="3730" w:type="dxa"/>
            <w:shd w:val="clear"/>
            <w:vAlign w:val="center"/>
          </w:tcPr>
          <w:p>
            <w:pPr>
              <w:rPr>
                <w:rFonts w:hint="eastAsia" w:ascii="宋体" w:hAnsi="宋体" w:eastAsia="宋体" w:cs="宋体"/>
                <w:i w:val="0"/>
                <w:color w:val="000000"/>
                <w:sz w:val="22"/>
                <w:szCs w:val="22"/>
                <w:u w:val="none"/>
              </w:rPr>
            </w:pPr>
          </w:p>
        </w:tc>
        <w:tc>
          <w:tcPr>
            <w:tcW w:w="887" w:type="dxa"/>
            <w:shd w:val="clear"/>
            <w:vAlign w:val="center"/>
          </w:tcPr>
          <w:p>
            <w:pPr>
              <w:rPr>
                <w:rFonts w:hint="eastAsia" w:ascii="宋体" w:hAnsi="宋体" w:eastAsia="宋体" w:cs="宋体"/>
                <w:i w:val="0"/>
                <w:color w:val="000000"/>
                <w:sz w:val="22"/>
                <w:szCs w:val="22"/>
                <w:u w:val="none"/>
              </w:rPr>
            </w:pPr>
          </w:p>
        </w:tc>
        <w:tc>
          <w:tcPr>
            <w:tcW w:w="887" w:type="dxa"/>
            <w:shd w:val="clear"/>
            <w:vAlign w:val="center"/>
          </w:tcPr>
          <w:p>
            <w:pPr>
              <w:rPr>
                <w:rFonts w:hint="eastAsia" w:ascii="宋体" w:hAnsi="宋体" w:eastAsia="宋体" w:cs="宋体"/>
                <w:i w:val="0"/>
                <w:color w:val="000000"/>
                <w:sz w:val="22"/>
                <w:szCs w:val="22"/>
                <w:u w:val="none"/>
              </w:rPr>
            </w:pPr>
          </w:p>
        </w:tc>
        <w:tc>
          <w:tcPr>
            <w:tcW w:w="880" w:type="dxa"/>
            <w:shd w:val="clear"/>
            <w:vAlign w:val="center"/>
          </w:tcPr>
          <w:p>
            <w:pPr>
              <w:rPr>
                <w:rFonts w:hint="eastAsia" w:ascii="宋体" w:hAnsi="宋体" w:eastAsia="宋体" w:cs="宋体"/>
                <w:i w:val="0"/>
                <w:color w:val="000000"/>
                <w:sz w:val="22"/>
                <w:szCs w:val="22"/>
                <w:u w:val="none"/>
              </w:rPr>
            </w:pPr>
          </w:p>
        </w:tc>
        <w:tc>
          <w:tcPr>
            <w:tcW w:w="1534"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9"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战略事权</w:t>
            </w:r>
          </w:p>
        </w:tc>
        <w:tc>
          <w:tcPr>
            <w:tcW w:w="8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财政事权</w:t>
            </w:r>
          </w:p>
        </w:tc>
        <w:tc>
          <w:tcPr>
            <w:tcW w:w="8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政策任务</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主要用途</w:t>
            </w:r>
          </w:p>
        </w:tc>
        <w:tc>
          <w:tcPr>
            <w:tcW w:w="3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绩效目标</w:t>
            </w:r>
          </w:p>
        </w:tc>
        <w:tc>
          <w:tcPr>
            <w:tcW w:w="8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资金额度</w:t>
            </w:r>
          </w:p>
        </w:tc>
        <w:tc>
          <w:tcPr>
            <w:tcW w:w="17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审批权限设置</w:t>
            </w:r>
          </w:p>
        </w:tc>
        <w:tc>
          <w:tcPr>
            <w:tcW w:w="1534"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46"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b/>
                <w:i w:val="0"/>
                <w:color w:val="000000"/>
                <w:sz w:val="28"/>
                <w:szCs w:val="28"/>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b/>
                <w:i w:val="0"/>
                <w:color w:val="000000"/>
                <w:sz w:val="28"/>
                <w:szCs w:val="28"/>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b/>
                <w:i w:val="0"/>
                <w:color w:val="000000"/>
                <w:sz w:val="28"/>
                <w:szCs w:val="28"/>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b/>
                <w:i w:val="0"/>
                <w:color w:val="000000"/>
                <w:sz w:val="28"/>
                <w:szCs w:val="28"/>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b/>
                <w:i w:val="0"/>
                <w:color w:val="000000"/>
                <w:sz w:val="28"/>
                <w:szCs w:val="28"/>
                <w:u w:val="none"/>
              </w:rPr>
            </w:pPr>
          </w:p>
        </w:tc>
        <w:tc>
          <w:tcPr>
            <w:tcW w:w="373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b/>
                <w:i w:val="0"/>
                <w:color w:val="000000"/>
                <w:sz w:val="28"/>
                <w:szCs w:val="28"/>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b/>
                <w:i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保留省级审批</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下放市县</w:t>
            </w:r>
          </w:p>
        </w:tc>
        <w:tc>
          <w:tcPr>
            <w:tcW w:w="1534"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1" w:hRule="atLeast"/>
        </w:trPr>
        <w:tc>
          <w:tcPr>
            <w:tcW w:w="7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灾害防治及应急管理专项资金</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防灾救灾应急</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城市地质工作专项</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主要用于建设城市地质大数据共享平台，统筹地上、地下建设，开展广深科技创新走廊地下空间资源地质调查与安全评估等城市地质工作。项目拟由省国土资源技术中心和省地质调查院实施。</w:t>
            </w:r>
          </w:p>
        </w:tc>
        <w:tc>
          <w:tcPr>
            <w:tcW w:w="3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广东省城市地质信息管理服务平台建设：开展广东省城市地质分布式数据库建设、广东省城市地质信息管理服务系统建设，初步搭建形成广东省城市地质监测平台，开展广东省及重点区域三维地质模型构建；为城市建设、城市运营管理、城市安全、城市防灾减灾及城市规划等范畴提供地质信息支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广深科技创新走廊地下空间资源地质调查与安全评估：完成广深科技创新走廊莞深段1∶1万地下空间资源评价系列图件及地下空间地质调查等，初步构建广深科技创新走廊莞深段地下空间资源地质数据库与信息系统，为广深科技走廊空间规划、工程建设、防灾减灾提供地质。</w:t>
            </w:r>
          </w:p>
        </w:tc>
        <w:tc>
          <w:tcPr>
            <w:tcW w:w="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2725</w:t>
            </w:r>
          </w:p>
        </w:tc>
        <w:tc>
          <w:tcPr>
            <w:tcW w:w="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2725</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34" w:type="dxa"/>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531A7"/>
    <w:rsid w:val="120950A3"/>
    <w:rsid w:val="14FC7B8D"/>
    <w:rsid w:val="2F1531A7"/>
    <w:rsid w:val="3AC16441"/>
    <w:rsid w:val="3FD1376D"/>
    <w:rsid w:val="7493081D"/>
    <w:rsid w:val="7B15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省政府办公厅</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2019-02-22T09:45:00Z</dcterms:created>
  <dc:creator>邝小清</dc:creator>
  <cp:lastModifiedBy>未定义</cp:lastModifiedBy>
  <dcterms:modified xsi:type="dcterms:W3CDTF">2019-03-01T08:47:29Z</dcterms:modified>
  <dc:title>2019年城市地质专项资金分配方案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