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21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方正小标宋简体" w:eastAsia="方正小标宋简体"/>
                <w:color w:val="000000"/>
                <w:sz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广东省2019年第三次全国国土调查省级专项经费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lang w:eastAsia="zh-CN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单 位</w:t>
            </w: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项目内容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金 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省自然资源厅</w:t>
            </w: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调查办公室工作经费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组织召开各类工作会议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小计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省地图院</w:t>
            </w: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参加国家级培训、省内技术指导、省内外技术交流等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成果检查验收，主要包括调查成果外业抽查等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小计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省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国土资源测绘院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调查办公室工作经费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参加国家级培训、省内技术指导、省内外技术交流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数据切片及上线，主要包括统一时点更新数据服务生产等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成果检查验收，主要包括调查成果内业核查、外业抽查等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不可预见费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小计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664.20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省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土地调查规划院</w:t>
            </w:r>
          </w:p>
        </w:tc>
        <w:tc>
          <w:tcPr>
            <w:tcW w:w="6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参加国家级培训和组织全省技术培训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省内技术指导、省内外技术交流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成果检查验收，主要包括调查成果内外业抽查、数据库地类复核和数据库质量检查等内容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省级成果整理上报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成果数据统计汇总与输出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不可预见费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小计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538.20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省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土地开发整治中心</w:t>
            </w: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参加国家级培训、省内技术指导、工作督导与省内外技术交流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耕地质量等别评价成果省级检查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小计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235.00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2"/>
              </w:rPr>
              <w:t>国土资源技术中心</w:t>
            </w: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参加国家级培训费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省内技术指导、省内外技术交流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省级初始库和省级数据库管理系统建设，包括县级数据库建库软件开发、省级数据库管理系统建设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数据保密技术处理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省级数据库建设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成果检查验收，主要包括调查成果外业抽查等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土地调查数据及专项调查数据分析与共享服务平台建设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不可预见费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小计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1378.60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省自然资源厅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政务中心（宣传中心）</w:t>
            </w: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宣传费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小计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合计</w:t>
            </w:r>
          </w:p>
        </w:tc>
        <w:tc>
          <w:tcPr>
            <w:tcW w:w="6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3014.00</w:t>
            </w:r>
          </w:p>
        </w:tc>
      </w:tr>
    </w:tbl>
    <w:p/>
    <w:p/>
    <w:p>
      <w:p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tbl>
      <w:tblPr>
        <w:tblStyle w:val="3"/>
        <w:tblW w:w="129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6"/>
        <w:gridCol w:w="752"/>
        <w:gridCol w:w="1057"/>
        <w:gridCol w:w="2514"/>
        <w:gridCol w:w="2971"/>
        <w:gridCol w:w="915"/>
        <w:gridCol w:w="322"/>
        <w:gridCol w:w="563"/>
        <w:gridCol w:w="323"/>
        <w:gridCol w:w="532"/>
        <w:gridCol w:w="720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299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省级财政专项资金目录清单（2019年）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专项资金名称（战略领域名称）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财政事权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政策任务</w:t>
            </w:r>
          </w:p>
        </w:tc>
        <w:tc>
          <w:tcPr>
            <w:tcW w:w="2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2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资金额度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审批权限设置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保留省级审批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下放用款单位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下放市县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8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自然资源及海洋事务专项资金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国土资源监管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第三次全国国土调查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国务院的统一部署，由省自然资源厅组织开展我省第三次国土调查，在第二次全国土地调查成果基础上，全面细化和完善全国土地利用基础数据，掌握翔实准确的全国国土利用现状和自然资源变化情况，主要工作内容包括省级第三次国土调查工作的组织实施、调查初始库和省级数据库管理系统建设、外业调查及举证平台建设、省级成果数据库建设及统一时点更新、成果质量控制等工作。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总体绩效目标：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按照国家统一部署，完成县级外业调查举证省级内业审核和外业抽查；完成县级三次调查数据库成果省级检查；完成省级三调数据库建设；完成全省各级土地调查办相关人员统一时点更新技术培训；开展省内技术指导与工作督导。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预期效果：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进一步完善国土调查、监测和统计制度，实现成果信息化管理与共享，满足生态文明建设、空间规划编制、供给侧结构性改革、宏观调控、自然资源管理体制改革和统一确权登记、国土空间用途管制、国土空间生态修复、空间治理能力现代化和国土空间规划体系建设等各项工作的需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8257C3"/>
    <w:rsid w:val="16991E49"/>
    <w:rsid w:val="24FE2E39"/>
    <w:rsid w:val="41702274"/>
    <w:rsid w:val="5FF65BE7"/>
    <w:rsid w:val="71EB758F"/>
    <w:rsid w:val="729332D6"/>
    <w:rsid w:val="75AC5F43"/>
    <w:rsid w:val="79A83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省海洋与渔业厅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2019-01-18T09:03:00Z</dcterms:created>
  <dc:creator>未定义</dc:creator>
  <cp:lastModifiedBy>未定义</cp:lastModifiedBy>
  <dcterms:modified xsi:type="dcterms:W3CDTF">2019-03-01T08:52:13Z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