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3"/>
        <w:tblW w:w="79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29"/>
        <w:gridCol w:w="1792"/>
        <w:gridCol w:w="1063"/>
        <w:gridCol w:w="189"/>
        <w:gridCol w:w="880"/>
        <w:gridCol w:w="515"/>
        <w:gridCol w:w="2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229" w:type="dxa"/>
            <w:vAlign w:val="center"/>
          </w:tcPr>
          <w:p>
            <w:pPr>
              <w:widowControl/>
              <w:jc w:val="left"/>
              <w:textAlignment w:val="center"/>
              <w:rPr>
                <w:rFonts w:ascii="黑体" w:hAnsi="宋体" w:eastAsia="黑体" w:cs="黑体"/>
                <w:b/>
                <w:i w:val="0"/>
                <w:color w:val="000000"/>
                <w:sz w:val="20"/>
                <w:szCs w:val="20"/>
                <w:u w:val="none"/>
              </w:rPr>
            </w:pPr>
            <w:r>
              <w:rPr>
                <w:rFonts w:hint="eastAsia" w:ascii="宋体" w:hAnsi="宋体" w:eastAsia="宋体" w:cs="宋体"/>
                <w:b w:val="0"/>
                <w:bCs/>
                <w:i w:val="0"/>
                <w:color w:val="000000"/>
                <w:kern w:val="0"/>
                <w:sz w:val="28"/>
                <w:szCs w:val="28"/>
                <w:u w:val="none"/>
                <w:lang w:val="en-US" w:eastAsia="zh-CN" w:bidi="ar-SA"/>
              </w:rPr>
              <w:t>附件3：</w:t>
            </w:r>
          </w:p>
        </w:tc>
        <w:tc>
          <w:tcPr>
            <w:tcW w:w="1792" w:type="dxa"/>
            <w:vAlign w:val="center"/>
          </w:tcPr>
          <w:p>
            <w:pPr>
              <w:rPr>
                <w:rFonts w:hint="eastAsia" w:ascii="宋体" w:hAnsi="宋体" w:eastAsia="宋体" w:cs="宋体"/>
                <w:i w:val="0"/>
                <w:color w:val="000000"/>
                <w:sz w:val="22"/>
                <w:szCs w:val="22"/>
                <w:u w:val="none"/>
              </w:rPr>
            </w:pPr>
          </w:p>
        </w:tc>
        <w:tc>
          <w:tcPr>
            <w:tcW w:w="1063" w:type="dxa"/>
            <w:vAlign w:val="center"/>
          </w:tcPr>
          <w:p>
            <w:pPr>
              <w:rPr>
                <w:rFonts w:hint="eastAsia" w:ascii="宋体" w:hAnsi="宋体" w:eastAsia="宋体" w:cs="宋体"/>
                <w:i w:val="0"/>
                <w:color w:val="000000"/>
                <w:sz w:val="22"/>
                <w:szCs w:val="22"/>
                <w:u w:val="none"/>
              </w:rPr>
            </w:pPr>
          </w:p>
        </w:tc>
        <w:tc>
          <w:tcPr>
            <w:tcW w:w="1069" w:type="dxa"/>
            <w:gridSpan w:val="2"/>
            <w:vAlign w:val="center"/>
          </w:tcPr>
          <w:p>
            <w:pPr>
              <w:rPr>
                <w:rFonts w:hint="eastAsia" w:ascii="宋体" w:hAnsi="宋体" w:eastAsia="宋体" w:cs="宋体"/>
                <w:i w:val="0"/>
                <w:color w:val="000000"/>
                <w:sz w:val="22"/>
                <w:szCs w:val="22"/>
                <w:u w:val="none"/>
              </w:rPr>
            </w:pPr>
          </w:p>
        </w:tc>
        <w:tc>
          <w:tcPr>
            <w:tcW w:w="2795" w:type="dxa"/>
            <w:gridSpan w:val="2"/>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948" w:type="dxa"/>
            <w:gridSpan w:val="7"/>
            <w:tcBorders>
              <w:bottom w:val="single" w:color="000000" w:sz="4" w:space="0"/>
            </w:tcBorders>
            <w:vAlign w:val="center"/>
          </w:tcPr>
          <w:p>
            <w:pPr>
              <w:widowControl/>
              <w:jc w:val="center"/>
              <w:textAlignment w:val="center"/>
              <w:rPr>
                <w:rFonts w:hint="eastAsia" w:ascii="宋体" w:hAnsi="宋体" w:eastAsia="宋体" w:cs="宋体"/>
                <w:b/>
                <w:i w:val="0"/>
                <w:color w:val="000000"/>
                <w:kern w:val="0"/>
                <w:sz w:val="44"/>
                <w:szCs w:val="44"/>
                <w:u w:val="none"/>
                <w:lang w:val="en-US" w:eastAsia="zh-CN" w:bidi="ar-SA"/>
              </w:rPr>
            </w:pPr>
            <w:r>
              <w:rPr>
                <w:rFonts w:hint="eastAsia" w:ascii="宋体" w:hAnsi="宋体" w:eastAsia="宋体" w:cs="宋体"/>
                <w:b/>
                <w:i w:val="0"/>
                <w:color w:val="000000"/>
                <w:kern w:val="0"/>
                <w:sz w:val="44"/>
                <w:szCs w:val="44"/>
                <w:u w:val="none"/>
                <w:lang w:val="en-US" w:eastAsia="zh-CN" w:bidi="ar-SA"/>
              </w:rPr>
              <w:t>2019年自然资源事务</w:t>
            </w:r>
          </w:p>
          <w:p>
            <w:pPr>
              <w:widowControl/>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44"/>
                <w:szCs w:val="44"/>
                <w:u w:val="none"/>
                <w:lang w:val="en-US" w:eastAsia="zh-CN" w:bidi="ar-SA"/>
              </w:rPr>
              <w:t>（省级地质遗迹保护)专项资金分配方案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229"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spacing w:val="113"/>
                <w:kern w:val="0"/>
                <w:sz w:val="24"/>
                <w:szCs w:val="24"/>
                <w:u w:val="none"/>
                <w:lang w:val="en-US" w:eastAsia="zh-CN" w:bidi="ar-SA"/>
              </w:rPr>
              <w:t>序号</w:t>
            </w:r>
          </w:p>
        </w:tc>
        <w:tc>
          <w:tcPr>
            <w:tcW w:w="1792"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spacing w:val="113"/>
                <w:kern w:val="0"/>
                <w:sz w:val="24"/>
                <w:szCs w:val="24"/>
                <w:u w:val="none"/>
                <w:lang w:val="en-US" w:eastAsia="zh-CN" w:bidi="ar-SA"/>
              </w:rPr>
              <w:t>地区</w:t>
            </w:r>
          </w:p>
        </w:tc>
        <w:tc>
          <w:tcPr>
            <w:tcW w:w="125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需求资金</w:t>
            </w:r>
            <w:r>
              <w:rPr>
                <w:rFonts w:hint="eastAsia" w:ascii="仿宋" w:hAnsi="仿宋" w:eastAsia="仿宋" w:cs="仿宋"/>
                <w:b/>
                <w:i w:val="0"/>
                <w:color w:val="000000"/>
                <w:kern w:val="0"/>
                <w:sz w:val="24"/>
                <w:szCs w:val="24"/>
                <w:u w:val="none"/>
                <w:lang w:val="en-US" w:eastAsia="zh-CN" w:bidi="ar-SA"/>
              </w:rPr>
              <w:br/>
            </w:r>
            <w:r>
              <w:rPr>
                <w:rFonts w:hint="eastAsia" w:ascii="仿宋" w:hAnsi="仿宋" w:eastAsia="仿宋" w:cs="仿宋"/>
                <w:b/>
                <w:i w:val="0"/>
                <w:color w:val="000000"/>
                <w:kern w:val="0"/>
                <w:sz w:val="24"/>
                <w:szCs w:val="24"/>
                <w:u w:val="none"/>
                <w:lang w:val="en-US" w:eastAsia="zh-CN" w:bidi="ar-SA"/>
              </w:rPr>
              <w:t>（万元）</w:t>
            </w: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需求分配</w:t>
            </w:r>
            <w:r>
              <w:rPr>
                <w:rFonts w:hint="eastAsia" w:ascii="仿宋" w:hAnsi="仿宋" w:eastAsia="仿宋" w:cs="仿宋"/>
                <w:b/>
                <w:i w:val="0"/>
                <w:color w:val="000000"/>
                <w:kern w:val="0"/>
                <w:sz w:val="24"/>
                <w:szCs w:val="24"/>
                <w:u w:val="none"/>
                <w:lang w:val="en-US" w:eastAsia="zh-CN" w:bidi="ar-SA"/>
              </w:rPr>
              <w:br/>
            </w:r>
            <w:r>
              <w:rPr>
                <w:rFonts w:hint="eastAsia" w:ascii="仿宋" w:hAnsi="仿宋" w:eastAsia="仿宋" w:cs="仿宋"/>
                <w:b/>
                <w:i w:val="0"/>
                <w:color w:val="000000"/>
                <w:kern w:val="0"/>
                <w:sz w:val="24"/>
                <w:szCs w:val="24"/>
                <w:u w:val="none"/>
                <w:lang w:val="en-US" w:eastAsia="zh-CN" w:bidi="ar-SA"/>
              </w:rPr>
              <w:t>比例</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分配资金</w:t>
            </w:r>
            <w:r>
              <w:rPr>
                <w:rFonts w:hint="eastAsia" w:ascii="仿宋" w:hAnsi="仿宋" w:eastAsia="仿宋" w:cs="仿宋"/>
                <w:b/>
                <w:i w:val="0"/>
                <w:color w:val="000000"/>
                <w:kern w:val="0"/>
                <w:sz w:val="24"/>
                <w:szCs w:val="24"/>
                <w:u w:val="none"/>
                <w:lang w:val="en-US" w:eastAsia="zh-CN" w:bidi="ar-SA"/>
              </w:rPr>
              <w:br/>
            </w:r>
            <w:r>
              <w:rPr>
                <w:rFonts w:hint="eastAsia" w:ascii="仿宋" w:hAnsi="仿宋" w:eastAsia="仿宋" w:cs="仿宋"/>
                <w:b/>
                <w:i w:val="0"/>
                <w:color w:val="000000"/>
                <w:kern w:val="0"/>
                <w:sz w:val="24"/>
                <w:szCs w:val="24"/>
                <w:u w:val="none"/>
                <w:lang w:val="en-US" w:eastAsia="zh-CN" w:bidi="ar-SA"/>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2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1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韶关</w:t>
            </w:r>
          </w:p>
        </w:tc>
        <w:tc>
          <w:tcPr>
            <w:tcW w:w="125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3857.7</w:t>
            </w: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74.22%</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 xml:space="preserve">594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2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w:t>
            </w:r>
          </w:p>
        </w:tc>
        <w:tc>
          <w:tcPr>
            <w:tcW w:w="1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梅州</w:t>
            </w:r>
          </w:p>
        </w:tc>
        <w:tc>
          <w:tcPr>
            <w:tcW w:w="125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300</w:t>
            </w: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5.77%</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 xml:space="preserve">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2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w:t>
            </w:r>
          </w:p>
        </w:tc>
        <w:tc>
          <w:tcPr>
            <w:tcW w:w="1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清远</w:t>
            </w:r>
          </w:p>
        </w:tc>
        <w:tc>
          <w:tcPr>
            <w:tcW w:w="125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1040</w:t>
            </w: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20.01%</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 xml:space="preserve">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30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SA"/>
              </w:rPr>
              <w:t>合计</w:t>
            </w:r>
          </w:p>
        </w:tc>
        <w:tc>
          <w:tcPr>
            <w:tcW w:w="125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SA"/>
              </w:rPr>
              <w:t>5197.7</w:t>
            </w: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SA"/>
              </w:rPr>
              <w:t>100.00%</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SA"/>
              </w:rPr>
              <w:t xml:space="preserve">800 </w:t>
            </w:r>
          </w:p>
        </w:tc>
      </w:tr>
    </w:tbl>
    <w:p>
      <w:pPr>
        <w:sectPr>
          <w:pgSz w:w="11906" w:h="16838"/>
          <w:pgMar w:top="1440" w:right="1800" w:bottom="1440" w:left="1984" w:header="851" w:footer="992" w:gutter="0"/>
          <w:cols w:space="720" w:num="1"/>
          <w:rtlGutter w:val="0"/>
          <w:docGrid w:type="lines" w:linePitch="312" w:charSpace="0"/>
        </w:sectPr>
      </w:pPr>
    </w:p>
    <w:tbl>
      <w:tblPr>
        <w:tblStyle w:val="3"/>
        <w:tblW w:w="136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79"/>
        <w:gridCol w:w="918"/>
        <w:gridCol w:w="1301"/>
        <w:gridCol w:w="3944"/>
        <w:gridCol w:w="3220"/>
        <w:gridCol w:w="686"/>
        <w:gridCol w:w="918"/>
        <w:gridCol w:w="918"/>
        <w:gridCol w:w="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3602" w:type="dxa"/>
            <w:gridSpan w:val="9"/>
            <w:vAlign w:val="center"/>
          </w:tcPr>
          <w:p>
            <w:pPr>
              <w:widowControl/>
              <w:jc w:val="center"/>
              <w:textAlignment w:val="center"/>
              <w:rPr>
                <w:rFonts w:ascii="方正小标宋简体" w:hAnsi="方正小标宋简体" w:eastAsia="方正小标宋简体" w:cs="方正小标宋简体"/>
                <w:i w:val="0"/>
                <w:color w:val="000000"/>
                <w:sz w:val="48"/>
                <w:szCs w:val="48"/>
                <w:u w:val="none"/>
              </w:rPr>
            </w:pPr>
            <w:r>
              <w:rPr>
                <w:rFonts w:hint="eastAsia" w:ascii="宋体" w:hAnsi="宋体" w:eastAsia="宋体" w:cs="宋体"/>
                <w:b/>
                <w:bCs/>
                <w:i w:val="0"/>
                <w:color w:val="000000"/>
                <w:kern w:val="0"/>
                <w:sz w:val="44"/>
                <w:szCs w:val="44"/>
                <w:u w:val="none"/>
                <w:lang w:val="en-US" w:eastAsia="zh-CN" w:bidi="ar-SA"/>
              </w:rPr>
              <w:t>2019年自然资源</w:t>
            </w:r>
            <w:bookmarkStart w:id="0" w:name="_GoBack"/>
            <w:bookmarkEnd w:id="0"/>
            <w:r>
              <w:rPr>
                <w:rFonts w:hint="eastAsia" w:ascii="宋体" w:hAnsi="宋体" w:eastAsia="宋体" w:cs="宋体"/>
                <w:b/>
                <w:bCs/>
                <w:i w:val="0"/>
                <w:color w:val="000000"/>
                <w:kern w:val="0"/>
                <w:sz w:val="44"/>
                <w:szCs w:val="44"/>
                <w:u w:val="none"/>
                <w:lang w:val="en-US" w:eastAsia="zh-CN" w:bidi="ar-SA"/>
              </w:rPr>
              <w:t>事务（省级地质遗迹保护)目录清单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79" w:type="dxa"/>
            <w:vAlign w:val="center"/>
          </w:tcPr>
          <w:p>
            <w:pPr>
              <w:rPr>
                <w:rFonts w:hint="eastAsia" w:ascii="宋体" w:hAnsi="宋体" w:eastAsia="宋体" w:cs="宋体"/>
                <w:i w:val="0"/>
                <w:color w:val="000000"/>
                <w:sz w:val="22"/>
                <w:szCs w:val="22"/>
                <w:u w:val="none"/>
              </w:rPr>
            </w:pPr>
          </w:p>
        </w:tc>
        <w:tc>
          <w:tcPr>
            <w:tcW w:w="918" w:type="dxa"/>
            <w:vAlign w:val="center"/>
          </w:tcPr>
          <w:p>
            <w:pPr>
              <w:rPr>
                <w:rFonts w:hint="eastAsia" w:ascii="宋体" w:hAnsi="宋体" w:eastAsia="宋体" w:cs="宋体"/>
                <w:i w:val="0"/>
                <w:color w:val="000000"/>
                <w:sz w:val="22"/>
                <w:szCs w:val="22"/>
                <w:u w:val="none"/>
              </w:rPr>
            </w:pPr>
          </w:p>
        </w:tc>
        <w:tc>
          <w:tcPr>
            <w:tcW w:w="1301" w:type="dxa"/>
            <w:vAlign w:val="center"/>
          </w:tcPr>
          <w:p>
            <w:pPr>
              <w:rPr>
                <w:rFonts w:hint="eastAsia" w:ascii="宋体" w:hAnsi="宋体" w:eastAsia="宋体" w:cs="宋体"/>
                <w:i w:val="0"/>
                <w:color w:val="000000"/>
                <w:sz w:val="22"/>
                <w:szCs w:val="22"/>
                <w:u w:val="none"/>
              </w:rPr>
            </w:pPr>
          </w:p>
        </w:tc>
        <w:tc>
          <w:tcPr>
            <w:tcW w:w="3944" w:type="dxa"/>
            <w:vAlign w:val="center"/>
          </w:tcPr>
          <w:p>
            <w:pPr>
              <w:rPr>
                <w:rFonts w:hint="eastAsia" w:ascii="宋体" w:hAnsi="宋体" w:eastAsia="宋体" w:cs="宋体"/>
                <w:i w:val="0"/>
                <w:color w:val="000000"/>
                <w:sz w:val="22"/>
                <w:szCs w:val="22"/>
                <w:u w:val="none"/>
              </w:rPr>
            </w:pPr>
          </w:p>
        </w:tc>
        <w:tc>
          <w:tcPr>
            <w:tcW w:w="3220" w:type="dxa"/>
            <w:vAlign w:val="center"/>
          </w:tcPr>
          <w:p>
            <w:pPr>
              <w:rPr>
                <w:rFonts w:hint="eastAsia" w:ascii="宋体" w:hAnsi="宋体" w:eastAsia="宋体" w:cs="宋体"/>
                <w:i w:val="0"/>
                <w:color w:val="000000"/>
                <w:sz w:val="22"/>
                <w:szCs w:val="22"/>
                <w:u w:val="none"/>
              </w:rPr>
            </w:pPr>
          </w:p>
        </w:tc>
        <w:tc>
          <w:tcPr>
            <w:tcW w:w="686" w:type="dxa"/>
            <w:vAlign w:val="center"/>
          </w:tcPr>
          <w:p>
            <w:pPr>
              <w:rPr>
                <w:rFonts w:hint="eastAsia" w:ascii="宋体" w:hAnsi="宋体" w:eastAsia="宋体" w:cs="宋体"/>
                <w:i w:val="0"/>
                <w:color w:val="000000"/>
                <w:sz w:val="22"/>
                <w:szCs w:val="22"/>
                <w:u w:val="none"/>
              </w:rPr>
            </w:pPr>
          </w:p>
        </w:tc>
        <w:tc>
          <w:tcPr>
            <w:tcW w:w="2754" w:type="dxa"/>
            <w:gridSpan w:val="3"/>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战略事权</w:t>
            </w:r>
          </w:p>
        </w:tc>
        <w:tc>
          <w:tcPr>
            <w:tcW w:w="9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SA"/>
              </w:rPr>
              <w:t>财政</w:t>
            </w:r>
          </w:p>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事权</w:t>
            </w:r>
          </w:p>
        </w:tc>
        <w:tc>
          <w:tcPr>
            <w:tcW w:w="13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政策任务</w:t>
            </w:r>
          </w:p>
        </w:tc>
        <w:tc>
          <w:tcPr>
            <w:tcW w:w="39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主要用途</w:t>
            </w:r>
          </w:p>
        </w:tc>
        <w:tc>
          <w:tcPr>
            <w:tcW w:w="32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绩效目标</w:t>
            </w:r>
          </w:p>
        </w:tc>
        <w:tc>
          <w:tcPr>
            <w:tcW w:w="6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资金额度</w:t>
            </w:r>
          </w:p>
        </w:tc>
        <w:tc>
          <w:tcPr>
            <w:tcW w:w="18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审批权限设置</w:t>
            </w:r>
          </w:p>
        </w:tc>
        <w:tc>
          <w:tcPr>
            <w:tcW w:w="918"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9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3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39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32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保留省级审批</w:t>
            </w:r>
          </w:p>
        </w:tc>
        <w:tc>
          <w:tcPr>
            <w:tcW w:w="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SA"/>
              </w:rPr>
              <w:t>下放</w:t>
            </w:r>
          </w:p>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市县</w:t>
            </w:r>
          </w:p>
        </w:tc>
        <w:tc>
          <w:tcPr>
            <w:tcW w:w="918"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5"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省级地质遗迹保护</w:t>
            </w:r>
          </w:p>
        </w:tc>
        <w:tc>
          <w:tcPr>
            <w:tcW w:w="3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主要用于支持省级以上地质遗迹自然保护区和地质公园范围内的地质遗迹、地质结构、地质景观和古生物化石等资源的保护及治理工作。完成3个以上地质遗迹保护工作，并配合南粤古驿道建设。具体项目类型包括：省部领导批示的重点地质遗迹保护项目；省级以上地质遗迹自然保护区和地质公园的地质遗迹保护工程；重点地质遗迹详细调查或规划项目；重大地质遗迹科学研究和科普宣传项目。</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开展地质遗迹、地质公园、古生物化石保护工作，推进生态文明建设，有效保护我省地质遗迹资源，普及地质科学知识，推动当地社会经济发展。</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800</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800</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bl>
    <w:p/>
    <w:sectPr>
      <w:pgSz w:w="16838" w:h="11906" w:orient="landscape"/>
      <w:pgMar w:top="1701" w:right="1440" w:bottom="1803" w:left="1587" w:header="851" w:footer="992" w:gutter="0"/>
      <w:cols w:space="72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splitPgBreakAndParaMark/>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2981682"/>
    <w:rsid w:val="0BC73ECC"/>
    <w:rsid w:val="1D793F1C"/>
    <w:rsid w:val="24A50868"/>
    <w:rsid w:val="37884407"/>
    <w:rsid w:val="3E4862E8"/>
    <w:rsid w:val="42981682"/>
    <w:rsid w:val="4A8A2D8C"/>
    <w:rsid w:val="4E7F2304"/>
    <w:rsid w:val="6EF97F7D"/>
    <w:rsid w:val="791B428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unhideWhenUsed/>
    <w:uiPriority w:val="0"/>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2018-12-14T02:21:00Z</dcterms:created>
  <dc:creator>徐金</dc:creator>
  <cp:lastModifiedBy>徐金</cp:lastModifiedBy>
  <dcterms:modified xsi:type="dcterms:W3CDTF">2018-12-20T07:34:00Z</dcterms:modified>
  <dc:title>附件3：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