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pPr w:leftFromText="180" w:rightFromText="180" w:vertAnchor="page" w:horzAnchor="page" w:tblpX="794" w:tblpY="1518"/>
        <w:tblOverlap w:val="never"/>
        <w:tblW w:w="9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0"/>
        <w:gridCol w:w="1275"/>
        <w:gridCol w:w="1875"/>
        <w:gridCol w:w="1875"/>
        <w:gridCol w:w="18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widowControl/>
              <w:jc w:val="left"/>
              <w:textAlignment w:val="center"/>
              <w:rPr>
                <w:rFonts w:hint="eastAsia" w:ascii="黑体" w:hAnsi="宋体" w:eastAsia="黑体" w:cs="黑体"/>
                <w:i w:val="0"/>
                <w:color w:val="000000"/>
                <w:sz w:val="20"/>
                <w:szCs w:val="20"/>
                <w:u w:val="none"/>
                <w:lang w:eastAsia="zh-CN"/>
              </w:rPr>
            </w:pPr>
            <w:r>
              <w:rPr>
                <w:rFonts w:hint="eastAsia" w:ascii="宋体" w:hAnsi="宋体" w:eastAsia="宋体" w:cs="宋体"/>
                <w:i w:val="0"/>
                <w:color w:val="000000"/>
                <w:sz w:val="28"/>
                <w:szCs w:val="28"/>
                <w:u w:val="none"/>
                <w:lang w:eastAsia="zh-CN"/>
              </w:rPr>
              <w:t>附件</w:t>
            </w:r>
            <w:r>
              <w:rPr>
                <w:rFonts w:hint="eastAsia" w:ascii="宋体" w:hAnsi="宋体" w:eastAsia="宋体" w:cs="宋体"/>
                <w:i w:val="0"/>
                <w:color w:val="000000"/>
                <w:sz w:val="28"/>
                <w:szCs w:val="28"/>
                <w:u w:val="none"/>
                <w:lang w:val="en-US" w:eastAsia="zh-CN"/>
              </w:rPr>
              <w:t>2：</w:t>
            </w:r>
          </w:p>
        </w:tc>
        <w:tc>
          <w:tcPr>
            <w:tcW w:w="18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75" w:type="dxa"/>
            <w:gridSpan w:val="5"/>
            <w:tcBorders>
              <w:top w:val="nil"/>
              <w:left w:val="nil"/>
              <w:bottom w:val="nil"/>
              <w:right w:val="nil"/>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sz w:val="44"/>
                <w:szCs w:val="44"/>
                <w:u w:val="none"/>
                <w:lang w:val="en-US" w:eastAsia="zh-CN"/>
              </w:rPr>
              <w:t>2019年自然资源事务（省级矿山地质环境恢复治理）专项资金</w:t>
            </w:r>
            <w:r>
              <w:rPr>
                <w:rFonts w:hint="eastAsia" w:ascii="宋体" w:hAnsi="宋体" w:eastAsia="宋体" w:cs="宋体"/>
                <w:b/>
                <w:i w:val="0"/>
                <w:color w:val="000000"/>
                <w:sz w:val="44"/>
                <w:szCs w:val="44"/>
                <w:u w:val="none"/>
              </w:rPr>
              <w:t>分配方案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00"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spacing w:val="113"/>
                <w:sz w:val="24"/>
                <w:szCs w:val="24"/>
                <w:u w:val="none"/>
              </w:rPr>
              <w:t>序号</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spacing w:val="113"/>
                <w:sz w:val="24"/>
                <w:szCs w:val="24"/>
                <w:u w:val="none"/>
              </w:rPr>
              <w:t>地区</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sz w:val="24"/>
                <w:szCs w:val="24"/>
                <w:u w:val="none"/>
              </w:rPr>
              <w:t>需求资金</w:t>
            </w:r>
            <w:r>
              <w:rPr>
                <w:rFonts w:hint="eastAsia" w:ascii="仿宋" w:hAnsi="仿宋" w:eastAsia="仿宋" w:cs="仿宋"/>
                <w:b/>
                <w:i w:val="0"/>
                <w:color w:val="auto"/>
                <w:sz w:val="24"/>
                <w:szCs w:val="24"/>
                <w:u w:val="none"/>
              </w:rPr>
              <w:br/>
            </w:r>
            <w:r>
              <w:rPr>
                <w:rFonts w:hint="eastAsia" w:ascii="仿宋" w:hAnsi="仿宋" w:eastAsia="仿宋" w:cs="仿宋"/>
                <w:b/>
                <w:i w:val="0"/>
                <w:color w:val="auto"/>
                <w:sz w:val="24"/>
                <w:szCs w:val="24"/>
                <w:u w:val="none"/>
              </w:rPr>
              <w:t>（万元）</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sz w:val="24"/>
                <w:szCs w:val="24"/>
                <w:u w:val="none"/>
              </w:rPr>
              <w:t>需求分配</w:t>
            </w:r>
            <w:r>
              <w:rPr>
                <w:rFonts w:hint="eastAsia" w:ascii="仿宋" w:hAnsi="仿宋" w:eastAsia="仿宋" w:cs="仿宋"/>
                <w:b/>
                <w:i w:val="0"/>
                <w:color w:val="auto"/>
                <w:sz w:val="24"/>
                <w:szCs w:val="24"/>
                <w:u w:val="none"/>
              </w:rPr>
              <w:br/>
            </w:r>
            <w:r>
              <w:rPr>
                <w:rFonts w:hint="eastAsia" w:ascii="仿宋" w:hAnsi="仿宋" w:eastAsia="仿宋" w:cs="仿宋"/>
                <w:b/>
                <w:i w:val="0"/>
                <w:color w:val="auto"/>
                <w:sz w:val="24"/>
                <w:szCs w:val="24"/>
                <w:u w:val="none"/>
              </w:rPr>
              <w:t>比例</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sz w:val="24"/>
                <w:szCs w:val="24"/>
                <w:u w:val="none"/>
              </w:rPr>
              <w:t>分配资金</w:t>
            </w:r>
            <w:r>
              <w:rPr>
                <w:rFonts w:hint="eastAsia" w:ascii="仿宋" w:hAnsi="仿宋" w:eastAsia="仿宋" w:cs="仿宋"/>
                <w:b/>
                <w:i w:val="0"/>
                <w:color w:val="auto"/>
                <w:sz w:val="24"/>
                <w:szCs w:val="24"/>
                <w:u w:val="none"/>
              </w:rPr>
              <w:br/>
            </w:r>
            <w:r>
              <w:rPr>
                <w:rFonts w:hint="eastAsia" w:ascii="仿宋" w:hAnsi="仿宋" w:eastAsia="仿宋" w:cs="仿宋"/>
                <w:b/>
                <w:i w:val="0"/>
                <w:color w:val="auto"/>
                <w:sz w:val="24"/>
                <w:szCs w:val="24"/>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1</w:t>
            </w:r>
          </w:p>
        </w:tc>
        <w:tc>
          <w:tcPr>
            <w:tcW w:w="187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韶关</w:t>
            </w:r>
          </w:p>
        </w:tc>
        <w:tc>
          <w:tcPr>
            <w:tcW w:w="187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2003.36</w:t>
            </w:r>
          </w:p>
        </w:tc>
        <w:tc>
          <w:tcPr>
            <w:tcW w:w="187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15.80%</w:t>
            </w:r>
          </w:p>
        </w:tc>
        <w:tc>
          <w:tcPr>
            <w:tcW w:w="1875"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2</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河源</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2340</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18.45%</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3</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梅州</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1236.8</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9.75%</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4</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江门</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340</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2.68%</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5</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茂名</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2936.64</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23.15%</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6</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肇庆</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1618.48</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12.76%</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7</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清远</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830</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6.54%</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8</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潮州</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427</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3.37%</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9</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云浮</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rPr>
              <w:t>950.45</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7.49%</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000000"/>
                <w:kern w:val="0"/>
                <w:sz w:val="24"/>
                <w:szCs w:val="24"/>
                <w:u w:val="none"/>
                <w:lang w:val="en-US" w:eastAsia="zh-CN" w:bidi="ar-SA"/>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sz w:val="24"/>
                <w:szCs w:val="24"/>
                <w:u w:val="none"/>
              </w:rPr>
              <w:t>合计</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000000"/>
                <w:kern w:val="0"/>
                <w:sz w:val="24"/>
                <w:szCs w:val="24"/>
                <w:u w:val="none"/>
                <w:lang w:val="en-US" w:eastAsia="zh-CN" w:bidi="ar-SA"/>
              </w:rPr>
              <w:t>12682.73</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000000"/>
                <w:kern w:val="0"/>
                <w:sz w:val="24"/>
                <w:szCs w:val="24"/>
                <w:u w:val="none"/>
                <w:lang w:val="en-US" w:eastAsia="zh-CN" w:bidi="ar-SA"/>
              </w:rPr>
              <w:t>100.00%</w:t>
            </w:r>
          </w:p>
        </w:tc>
        <w:tc>
          <w:tcPr>
            <w:tcW w:w="18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000000"/>
                <w:kern w:val="0"/>
                <w:sz w:val="24"/>
                <w:szCs w:val="24"/>
                <w:u w:val="none"/>
                <w:lang w:val="en-US" w:eastAsia="zh-CN" w:bidi="ar-SA"/>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vanish/>
                <w:color w:val="000000"/>
                <w:sz w:val="22"/>
                <w:szCs w:val="22"/>
                <w:u w:val="none"/>
              </w:rPr>
            </w:pPr>
          </w:p>
        </w:tc>
        <w:tc>
          <w:tcPr>
            <w:tcW w:w="12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vanish/>
                <w:color w:val="000000"/>
                <w:sz w:val="22"/>
                <w:szCs w:val="22"/>
                <w:u w:val="none"/>
              </w:rPr>
            </w:pPr>
          </w:p>
        </w:tc>
        <w:tc>
          <w:tcPr>
            <w:tcW w:w="18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vanish/>
                <w:color w:val="000000"/>
                <w:sz w:val="22"/>
                <w:szCs w:val="22"/>
                <w:u w:val="none"/>
              </w:rPr>
            </w:pPr>
          </w:p>
        </w:tc>
        <w:tc>
          <w:tcPr>
            <w:tcW w:w="1875" w:type="dxa"/>
            <w:vAlign w:val="center"/>
          </w:tcPr>
          <w:p>
            <w:pPr>
              <w:rPr>
                <w:rFonts w:hint="eastAsia" w:ascii="宋体"/>
                <w:vanish/>
                <w:sz w:val="24"/>
                <w:szCs w:val="24"/>
              </w:rPr>
            </w:pPr>
          </w:p>
        </w:tc>
        <w:tc>
          <w:tcPr>
            <w:tcW w:w="1875" w:type="dxa"/>
            <w:vAlign w:val="center"/>
          </w:tcPr>
          <w:p>
            <w:pPr>
              <w:rPr>
                <w:rFonts w:hint="eastAsia" w:ascii="宋体"/>
                <w:vanish/>
                <w:sz w:val="24"/>
                <w:szCs w:val="24"/>
              </w:rPr>
            </w:pPr>
          </w:p>
        </w:tc>
        <w:tc>
          <w:tcPr>
            <w:tcW w:w="1875" w:type="dxa"/>
            <w:vAlign w:val="center"/>
          </w:tcPr>
          <w:p>
            <w:pPr>
              <w:rPr>
                <w:rFonts w:hint="eastAsia" w:ascii="宋体"/>
                <w:vanish/>
                <w:sz w:val="24"/>
                <w:szCs w:val="24"/>
              </w:rPr>
            </w:pPr>
          </w:p>
        </w:tc>
      </w:tr>
    </w:tbl>
    <w:p>
      <w:pPr>
        <w:sectPr>
          <w:pgSz w:w="11906" w:h="16838"/>
          <w:pgMar w:top="1440" w:right="1800" w:bottom="1440" w:left="1800" w:header="851" w:footer="992" w:gutter="0"/>
          <w:cols w:space="720" w:num="1"/>
          <w:docGrid w:type="lines" w:linePitch="312" w:charSpace="0"/>
        </w:sectPr>
      </w:pPr>
    </w:p>
    <w:tbl>
      <w:tblPr>
        <w:tblStyle w:val="3"/>
        <w:tblW w:w="13879"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54"/>
        <w:gridCol w:w="1275"/>
        <w:gridCol w:w="1440"/>
        <w:gridCol w:w="3930"/>
        <w:gridCol w:w="1876"/>
        <w:gridCol w:w="933"/>
        <w:gridCol w:w="1091"/>
        <w:gridCol w:w="102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3879"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hint="default" w:ascii="方正小标宋简体" w:hAnsi="方正小标宋简体" w:eastAsia="方正小标宋简体" w:cs="方正小标宋简体"/>
                <w:i w:val="0"/>
                <w:color w:val="auto"/>
                <w:sz w:val="48"/>
                <w:szCs w:val="48"/>
                <w:u w:val="none"/>
              </w:rPr>
            </w:pPr>
            <w:r>
              <w:rPr>
                <w:rFonts w:hint="eastAsia" w:ascii="宋体" w:hAnsi="宋体" w:eastAsia="宋体" w:cs="宋体"/>
                <w:b/>
                <w:bCs/>
                <w:i w:val="0"/>
                <w:color w:val="auto"/>
                <w:sz w:val="44"/>
                <w:szCs w:val="44"/>
                <w:u w:val="none"/>
              </w:rPr>
              <w:t>2019年自然资源</w:t>
            </w:r>
            <w:bookmarkStart w:id="0" w:name="_GoBack"/>
            <w:bookmarkEnd w:id="0"/>
            <w:r>
              <w:rPr>
                <w:rFonts w:hint="eastAsia" w:ascii="宋体" w:hAnsi="宋体" w:eastAsia="宋体" w:cs="宋体"/>
                <w:b/>
                <w:bCs/>
                <w:i w:val="0"/>
                <w:color w:val="auto"/>
                <w:sz w:val="44"/>
                <w:szCs w:val="44"/>
                <w:u w:val="none"/>
              </w:rPr>
              <w:t>事务（省级矿山地质环境恢复治理）目录清单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879" w:type="dxa"/>
            <w:gridSpan w:val="9"/>
            <w:tcBorders>
              <w:top w:val="nil"/>
              <w:left w:val="nil"/>
              <w:bottom w:val="nil"/>
              <w:right w:val="nil"/>
            </w:tcBorders>
            <w:tcMar>
              <w:top w:w="15" w:type="dxa"/>
              <w:left w:w="15" w:type="dxa"/>
              <w:right w:w="15" w:type="dxa"/>
            </w:tcMar>
            <w:vAlign w:val="center"/>
          </w:tcPr>
          <w:p>
            <w:pPr>
              <w:widowControl/>
              <w:ind w:left="0" w:leftChars="0"/>
              <w:jc w:val="righ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单位：万</w:t>
            </w:r>
            <w:r>
              <w:rPr>
                <w:rFonts w:hint="eastAsia" w:cs="宋体"/>
                <w:i w:val="0"/>
                <w:color w:val="auto"/>
                <w:sz w:val="24"/>
                <w:szCs w:val="24"/>
                <w:u w:val="none"/>
                <w:lang w:eastAsia="zh-CN"/>
              </w:rPr>
              <w:t>元</w:t>
            </w:r>
            <w:r>
              <w:rPr>
                <w:rFonts w:hint="eastAsia" w:ascii="宋体" w:hAnsi="宋体" w:eastAsia="宋体" w:cs="宋体"/>
                <w:i w:val="0"/>
                <w:vanish/>
                <w:color w:val="auto"/>
                <w:sz w:val="24"/>
                <w:szCs w:val="24"/>
                <w:u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135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sz w:val="28"/>
                <w:szCs w:val="28"/>
                <w:u w:val="none"/>
              </w:rPr>
              <w:t>战略事权</w:t>
            </w:r>
          </w:p>
        </w:tc>
        <w:tc>
          <w:tcPr>
            <w:tcW w:w="127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sz w:val="28"/>
                <w:szCs w:val="28"/>
                <w:u w:val="none"/>
              </w:rPr>
              <w:t>财政事权</w:t>
            </w:r>
          </w:p>
        </w:tc>
        <w:tc>
          <w:tcPr>
            <w:tcW w:w="144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sz w:val="28"/>
                <w:szCs w:val="28"/>
                <w:u w:val="none"/>
              </w:rPr>
              <w:t>政策任务</w:t>
            </w:r>
          </w:p>
        </w:tc>
        <w:tc>
          <w:tcPr>
            <w:tcW w:w="393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sz w:val="28"/>
                <w:szCs w:val="28"/>
                <w:u w:val="none"/>
              </w:rPr>
              <w:t>主要用途</w:t>
            </w:r>
          </w:p>
        </w:tc>
        <w:tc>
          <w:tcPr>
            <w:tcW w:w="187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sz w:val="28"/>
                <w:szCs w:val="28"/>
                <w:u w:val="none"/>
              </w:rPr>
              <w:t>绩效目标</w:t>
            </w:r>
          </w:p>
        </w:tc>
        <w:tc>
          <w:tcPr>
            <w:tcW w:w="933" w:type="dxa"/>
            <w:vMerge w:val="restart"/>
            <w:tcBorders>
              <w:top w:val="single" w:color="auto" w:sz="4" w:space="0"/>
              <w:left w:val="single" w:color="auto" w:sz="4" w:space="0"/>
              <w:right w:val="single" w:color="auto" w:sz="4" w:space="0"/>
            </w:tcBorders>
            <w:tcMar>
              <w:top w:w="15" w:type="dxa"/>
              <w:left w:w="15" w:type="dxa"/>
              <w:right w:w="15" w:type="dxa"/>
            </w:tcMar>
            <w:vAlign w:val="top"/>
          </w:tcPr>
          <w:p>
            <w:pPr>
              <w:widowControl/>
              <w:wordWrap/>
              <w:adjustRightInd/>
              <w:snapToGrid/>
              <w:spacing w:line="600" w:lineRule="exact"/>
              <w:ind w:left="0" w:leftChars="0" w:right="0" w:firstLine="0" w:firstLineChars="0"/>
              <w:jc w:val="center"/>
              <w:textAlignment w:val="center"/>
              <w:outlineLvl w:val="9"/>
              <w:rPr>
                <w:rFonts w:hint="eastAsia" w:ascii="宋体" w:hAnsi="宋体" w:eastAsia="宋体" w:cs="宋体"/>
                <w:b/>
                <w:i w:val="0"/>
                <w:color w:val="auto"/>
                <w:position w:val="-11"/>
                <w:sz w:val="28"/>
                <w:szCs w:val="28"/>
                <w:u w:val="none"/>
              </w:rPr>
            </w:pPr>
            <w:r>
              <w:rPr>
                <w:rFonts w:hint="eastAsia" w:ascii="宋体" w:hAnsi="宋体" w:eastAsia="宋体" w:cs="宋体"/>
                <w:b/>
                <w:i w:val="0"/>
                <w:color w:val="auto"/>
                <w:position w:val="-11"/>
                <w:sz w:val="28"/>
                <w:szCs w:val="28"/>
                <w:u w:val="none"/>
              </w:rPr>
              <w:t>资金</w:t>
            </w:r>
          </w:p>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b/>
                <w:i w:val="0"/>
                <w:color w:val="auto"/>
                <w:sz w:val="28"/>
                <w:szCs w:val="28"/>
                <w:u w:val="none"/>
              </w:rPr>
            </w:pPr>
            <w:r>
              <w:rPr>
                <w:rFonts w:hint="eastAsia" w:ascii="宋体" w:hAnsi="宋体" w:eastAsia="宋体" w:cs="宋体"/>
                <w:b/>
                <w:i w:val="0"/>
                <w:color w:val="auto"/>
                <w:position w:val="-11"/>
                <w:sz w:val="28"/>
                <w:szCs w:val="28"/>
                <w:u w:val="none"/>
              </w:rPr>
              <w:t>额度</w:t>
            </w:r>
          </w:p>
        </w:tc>
        <w:tc>
          <w:tcPr>
            <w:tcW w:w="211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sz w:val="28"/>
                <w:szCs w:val="28"/>
                <w:u w:val="none"/>
              </w:rPr>
              <w:t>审批权限设置</w:t>
            </w:r>
          </w:p>
        </w:tc>
        <w:tc>
          <w:tcPr>
            <w:tcW w:w="960" w:type="dxa"/>
            <w:vMerge w:val="restart"/>
            <w:tcBorders>
              <w:top w:val="single" w:color="auto" w:sz="4" w:space="0"/>
              <w:left w:val="nil"/>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sz w:val="28"/>
                <w:szCs w:val="28"/>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7" w:hRule="exact"/>
        </w:trPr>
        <w:tc>
          <w:tcPr>
            <w:tcW w:w="135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c>
          <w:tcPr>
            <w:tcW w:w="127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c>
          <w:tcPr>
            <w:tcW w:w="144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c>
          <w:tcPr>
            <w:tcW w:w="393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c>
          <w:tcPr>
            <w:tcW w:w="187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c>
          <w:tcPr>
            <w:tcW w:w="93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c>
          <w:tcPr>
            <w:tcW w:w="1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b/>
                <w:i w:val="0"/>
                <w:color w:val="auto"/>
                <w:sz w:val="28"/>
                <w:szCs w:val="28"/>
                <w:u w:val="none"/>
              </w:rPr>
            </w:pPr>
            <w:r>
              <w:rPr>
                <w:rFonts w:hint="eastAsia" w:ascii="宋体" w:hAnsi="宋体" w:eastAsia="宋体" w:cs="宋体"/>
                <w:b/>
                <w:i w:val="0"/>
                <w:color w:val="auto"/>
                <w:sz w:val="28"/>
                <w:szCs w:val="28"/>
                <w:u w:val="none"/>
              </w:rPr>
              <w:t>保留省审批级审批</w:t>
            </w:r>
          </w:p>
        </w:tc>
        <w:tc>
          <w:tcPr>
            <w:tcW w:w="10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500" w:lineRule="exact"/>
              <w:ind w:left="0" w:leftChars="0" w:right="0" w:firstLine="0" w:firstLineChars="0"/>
              <w:jc w:val="center"/>
              <w:textAlignment w:val="center"/>
              <w:outlineLvl w:val="9"/>
              <w:rPr>
                <w:rFonts w:hint="eastAsia" w:ascii="宋体" w:hAnsi="宋体" w:eastAsia="宋体" w:cs="宋体"/>
                <w:b/>
                <w:i w:val="0"/>
                <w:color w:val="auto"/>
                <w:sz w:val="28"/>
                <w:szCs w:val="28"/>
                <w:u w:val="none"/>
              </w:rPr>
            </w:pPr>
            <w:r>
              <w:rPr>
                <w:rFonts w:hint="eastAsia" w:ascii="宋体" w:hAnsi="宋体" w:eastAsia="宋体" w:cs="宋体"/>
                <w:b/>
                <w:i w:val="0"/>
                <w:color w:val="auto"/>
                <w:sz w:val="28"/>
                <w:szCs w:val="28"/>
                <w:u w:val="none"/>
              </w:rPr>
              <w:t>下放市县</w:t>
            </w:r>
            <w:r>
              <w:rPr>
                <w:rFonts w:hint="eastAsia" w:cs="宋体"/>
                <w:b/>
                <w:i w:val="0"/>
                <w:color w:val="auto"/>
                <w:sz w:val="28"/>
                <w:szCs w:val="28"/>
                <w:u w:val="none"/>
                <w:lang w:eastAsia="zh-CN"/>
              </w:rPr>
              <w:t>市</w:t>
            </w:r>
          </w:p>
        </w:tc>
        <w:tc>
          <w:tcPr>
            <w:tcW w:w="960" w:type="dxa"/>
            <w:vMerge w:val="continue"/>
            <w:tcBorders>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6" w:hRule="atLeast"/>
        </w:trPr>
        <w:tc>
          <w:tcPr>
            <w:tcW w:w="13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sz w:val="24"/>
                <w:szCs w:val="24"/>
                <w:u w:val="none"/>
              </w:rPr>
              <w:t>自然资源及海洋事务专项资金</w:t>
            </w: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地质矿产勘查及治理</w:t>
            </w:r>
          </w:p>
        </w:tc>
        <w:tc>
          <w:tcPr>
            <w:tcW w:w="14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省级矿山地质环境恢复治理</w:t>
            </w:r>
          </w:p>
        </w:tc>
        <w:tc>
          <w:tcPr>
            <w:tcW w:w="39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用于支持历史上已关闭废弃矿山或责任主体已灭失、需由政府投入资金解决的矿山地质环境问题的治理。恢复治理内容包括矿山地质灾害治理、地形地貌景观破坏治理、矿区地下含水层破坏治理和矿区土地复垦复绿等。项目类型包括：省部领导批示的重点矿山地质环境恢复治理项目；铁路、高速公路、国省道、南粤古驿道、主要海滨河流沿线地区、旅游风景区、城乡居民生活区、以及与邻省交界的治理责任主体已经灭失的废弃矿山地质环境恢复治理项目；重点矿山地质环境详细调查或监测项目；重点矿山地质环境恢复治理规划或政策研究项目。</w:t>
            </w:r>
          </w:p>
        </w:tc>
        <w:tc>
          <w:tcPr>
            <w:tcW w:w="18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矿山地质环境得到治理恢复，消除矿山地质灾害隐患,恢复植被,改善矿区及周边地区环境，矿区及周边地区人民群众生民财产安全得到保障。</w:t>
            </w: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1200</w:t>
            </w:r>
          </w:p>
        </w:tc>
        <w:tc>
          <w:tcPr>
            <w:tcW w:w="1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1200</w:t>
            </w:r>
          </w:p>
        </w:tc>
        <w:tc>
          <w:tcPr>
            <w:tcW w:w="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宋体" w:hAnsi="宋体" w:eastAsia="宋体" w:cs="宋体"/>
                <w:i w:val="0"/>
                <w:color w:val="auto"/>
                <w:sz w:val="24"/>
                <w:szCs w:val="24"/>
                <w:u w:val="none"/>
              </w:rPr>
            </w:pPr>
          </w:p>
        </w:tc>
      </w:tr>
    </w:tbl>
    <w:p/>
    <w:sectPr>
      <w:pgSz w:w="16838" w:h="11906" w:orient="landscape"/>
      <w:pgMar w:top="1701" w:right="1440" w:bottom="1803" w:left="1440" w:header="851" w:footer="992" w:gutter="0"/>
      <w:cols w:space="72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68"/>
  <w:displayHorizontalDrawingGridEvery w:val="1"/>
  <w:displayVerticalDrawingGridEvery w:val="2"/>
  <w:noPunctuationKerning w:val="1"/>
  <w:characterSpacingControl w:val="compressPunctuation"/>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4182B79"/>
    <w:rsid w:val="087A0FD4"/>
    <w:rsid w:val="100C4DAB"/>
    <w:rsid w:val="123D74C4"/>
    <w:rsid w:val="1BE25100"/>
    <w:rsid w:val="54182B79"/>
    <w:rsid w:val="5CCC6916"/>
    <w:rsid w:val="63AB2AC5"/>
    <w:rsid w:val="735D2730"/>
    <w:rsid w:val="76D41FA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left"/>
    </w:pPr>
    <w:rPr>
      <w:rFonts w:ascii="宋体" w:hAnsi="宋体" w:eastAsia="宋体" w:cs="宋体"/>
      <w:kern w:val="0"/>
      <w:sz w:val="24"/>
      <w:szCs w:val="24"/>
      <w:lang w:val="en-US" w:eastAsia="zh-CN" w:bidi="ar-SA"/>
    </w:rPr>
  </w:style>
  <w:style w:type="character" w:default="1" w:styleId="2">
    <w:name w:val="Default Paragraph Font"/>
    <w:unhideWhenUsed/>
    <w:uiPriority w:val="0"/>
  </w:style>
  <w:style w:type="table" w:default="1" w:styleId="3">
    <w:name w:val="Normal Table"/>
    <w:unhideWhenUsed/>
    <w:qFormat/>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2018-12-14T02:04:00Z</dcterms:created>
  <dc:creator>徐金</dc:creator>
  <cp:lastModifiedBy>徐金</cp:lastModifiedBy>
  <dcterms:modified xsi:type="dcterms:W3CDTF">2018-12-20T07:34:10Z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