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numPr>
          <w:numId w:val="0"/>
        </w:numPr>
        <w:wordWrap/>
        <w:adjustRightInd/>
        <w:snapToGrid/>
        <w:spacing w:line="560" w:lineRule="exact"/>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附件10</w:t>
      </w:r>
      <w:r>
        <w:rPr>
          <w:rFonts w:hint="eastAsia" w:ascii="宋体" w:hAnsi="宋体" w:cs="宋体"/>
          <w:sz w:val="28"/>
          <w:szCs w:val="28"/>
          <w:lang w:val="en-US" w:eastAsia="zh-CN"/>
        </w:rPr>
        <w:t>:</w:t>
      </w:r>
      <w:bookmarkStart w:id="0" w:name="_GoBack"/>
      <w:bookmarkEnd w:id="0"/>
    </w:p>
    <w:p>
      <w:pPr>
        <w:widowControl w:val="0"/>
        <w:wordWrap/>
        <w:autoSpaceDN w:val="0"/>
        <w:adjustRightInd/>
        <w:snapToGrid/>
        <w:spacing w:line="600" w:lineRule="exact"/>
        <w:ind w:left="0" w:leftChars="0" w:right="0" w:firstLine="0" w:firstLineChars="0"/>
        <w:jc w:val="center"/>
        <w:textAlignment w:val="center"/>
        <w:outlineLvl w:val="9"/>
        <w:rPr>
          <w:rFonts w:hint="eastAsia" w:ascii="宋体" w:hAnsi="宋体" w:cs="宋体"/>
          <w:b/>
          <w:color w:val="auto"/>
          <w:sz w:val="44"/>
          <w:szCs w:val="44"/>
          <w:lang w:eastAsia="zh-CN"/>
        </w:rPr>
      </w:pPr>
      <w:r>
        <w:rPr>
          <w:rFonts w:hint="eastAsia" w:ascii="宋体" w:hAnsi="宋体" w:cs="宋体"/>
          <w:b/>
          <w:color w:val="auto"/>
          <w:sz w:val="44"/>
          <w:szCs w:val="44"/>
          <w:lang w:val="en-US" w:eastAsia="zh-CN"/>
        </w:rPr>
        <w:t>2019年乡村振兴战略（</w:t>
      </w:r>
      <w:r>
        <w:rPr>
          <w:rFonts w:hint="eastAsia" w:ascii="宋体" w:hAnsi="宋体" w:cs="宋体"/>
          <w:b/>
          <w:color w:val="auto"/>
          <w:sz w:val="44"/>
          <w:szCs w:val="44"/>
          <w:lang w:eastAsia="zh-CN"/>
        </w:rPr>
        <w:t>南粤古驿道保护利用）</w:t>
      </w:r>
    </w:p>
    <w:p>
      <w:pPr>
        <w:widowControl w:val="0"/>
        <w:wordWrap/>
        <w:autoSpaceDN w:val="0"/>
        <w:adjustRightInd/>
        <w:snapToGrid/>
        <w:spacing w:after="160" w:afterLines="50" w:line="600" w:lineRule="exact"/>
        <w:ind w:left="0" w:leftChars="0" w:right="0" w:firstLine="0" w:firstLineChars="0"/>
        <w:jc w:val="center"/>
        <w:textAlignment w:val="center"/>
        <w:outlineLvl w:val="9"/>
        <w:rPr>
          <w:rFonts w:hint="eastAsia" w:ascii="华文中宋"/>
          <w:b/>
          <w:color w:val="auto"/>
          <w:sz w:val="48"/>
          <w:lang w:val="en-US" w:eastAsia="zh-CN"/>
        </w:rPr>
      </w:pPr>
      <w:r>
        <w:rPr>
          <w:rFonts w:hint="eastAsia" w:ascii="宋体" w:hAnsi="宋体" w:cs="宋体"/>
          <w:b/>
          <w:color w:val="auto"/>
          <w:sz w:val="44"/>
          <w:szCs w:val="44"/>
          <w:lang w:eastAsia="zh-CN"/>
        </w:rPr>
        <w:t>专项资金分配方案</w:t>
      </w:r>
    </w:p>
    <w:tbl>
      <w:tblPr>
        <w:tblStyle w:val="4"/>
        <w:tblW w:w="8900" w:type="dxa"/>
        <w:jc w:val="center"/>
        <w:tblInd w:w="-4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95"/>
        <w:gridCol w:w="1666"/>
        <w:gridCol w:w="1377"/>
        <w:gridCol w:w="5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rPr>
              <w:t>序号</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rPr>
              <w:t>地区（单位）</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rPr>
              <w:t>金额（万元）</w:t>
            </w:r>
          </w:p>
        </w:tc>
        <w:tc>
          <w:tcPr>
            <w:tcW w:w="51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rPr>
              <w:t>约束性任务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23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rPr>
              <w:t>合计</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rPr>
              <w:t>35000</w:t>
            </w:r>
          </w:p>
        </w:tc>
        <w:tc>
          <w:tcPr>
            <w:tcW w:w="51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23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一、各市县区（不含财政省直管县）</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20350</w:t>
            </w:r>
          </w:p>
        </w:tc>
        <w:tc>
          <w:tcPr>
            <w:tcW w:w="51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1</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汕头市小计</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1508</w:t>
            </w:r>
          </w:p>
        </w:tc>
        <w:tc>
          <w:tcPr>
            <w:tcW w:w="51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auto"/>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市直</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308</w:t>
            </w:r>
          </w:p>
        </w:tc>
        <w:tc>
          <w:tcPr>
            <w:tcW w:w="51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新建5公里绿道。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auto"/>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澄海区</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1200</w:t>
            </w:r>
          </w:p>
        </w:tc>
        <w:tc>
          <w:tcPr>
            <w:tcW w:w="51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完成古驿道22处文化设施，1个节点及服务设施建设提升。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2</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韶关市小计</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1764</w:t>
            </w:r>
          </w:p>
        </w:tc>
        <w:tc>
          <w:tcPr>
            <w:tcW w:w="51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240" w:lineRule="exact"/>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auto"/>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市直</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964</w:t>
            </w:r>
          </w:p>
        </w:tc>
        <w:tc>
          <w:tcPr>
            <w:tcW w:w="51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新建32.1公里绿道。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auto"/>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乐昌市</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800</w:t>
            </w:r>
          </w:p>
        </w:tc>
        <w:tc>
          <w:tcPr>
            <w:tcW w:w="51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完成古驿道35处文化设施，5个节点及服务设施建设提升，3公顷植被复原，30个信息牌建设，4个历史遗存修复，5公里古驿道路面修复。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3</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河源市小计</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5017</w:t>
            </w:r>
          </w:p>
        </w:tc>
        <w:tc>
          <w:tcPr>
            <w:tcW w:w="51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240" w:lineRule="exact"/>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auto"/>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市直</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2017</w:t>
            </w:r>
          </w:p>
        </w:tc>
        <w:tc>
          <w:tcPr>
            <w:tcW w:w="51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新建33公里绿道。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auto"/>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和平县</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1200</w:t>
            </w:r>
          </w:p>
        </w:tc>
        <w:tc>
          <w:tcPr>
            <w:tcW w:w="51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完成古驿道33处文化设施，13个节点及服务设施建设提升，12公顷植被复原，2个历史遗存修复，17公里古驿道路面修复。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auto"/>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东源县</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1800</w:t>
            </w:r>
          </w:p>
        </w:tc>
        <w:tc>
          <w:tcPr>
            <w:tcW w:w="51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完成古驿道48处文化设施，13个节点及服务设施建设提升，20公顷植被复原，20个信息牌建设，2个历史遗存修复，42公里古驿道路面修复。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4</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梅州市小计</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1855</w:t>
            </w:r>
          </w:p>
        </w:tc>
        <w:tc>
          <w:tcPr>
            <w:tcW w:w="51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240" w:lineRule="exact"/>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auto"/>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市直</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1055</w:t>
            </w:r>
          </w:p>
        </w:tc>
        <w:tc>
          <w:tcPr>
            <w:tcW w:w="51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新建17公里绿道。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auto"/>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平远县</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800</w:t>
            </w:r>
          </w:p>
        </w:tc>
        <w:tc>
          <w:tcPr>
            <w:tcW w:w="51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完成古驿道29处文化设施，5个节点及服务设施建设提升，3公顷植被复原，20个信息牌建设，1个历史遗存修复，0.6公里古驿道路面修复。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5</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惠州市小计</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700</w:t>
            </w:r>
          </w:p>
        </w:tc>
        <w:tc>
          <w:tcPr>
            <w:tcW w:w="51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240" w:lineRule="exact"/>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auto"/>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惠东县</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700</w:t>
            </w:r>
          </w:p>
        </w:tc>
        <w:tc>
          <w:tcPr>
            <w:tcW w:w="51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完成古驿道16处文化设施，9个节点及服务设施建设提升，2公顷植被复原，16个信息牌建设。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6</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汕尾市小计</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412</w:t>
            </w:r>
          </w:p>
        </w:tc>
        <w:tc>
          <w:tcPr>
            <w:tcW w:w="51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240" w:lineRule="exact"/>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auto"/>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市直</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412</w:t>
            </w:r>
          </w:p>
        </w:tc>
        <w:tc>
          <w:tcPr>
            <w:tcW w:w="51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新建6公里绿道。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7</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江门市小计</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1050</w:t>
            </w:r>
          </w:p>
        </w:tc>
        <w:tc>
          <w:tcPr>
            <w:tcW w:w="51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240" w:lineRule="exact"/>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auto"/>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台山市</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1050</w:t>
            </w:r>
          </w:p>
        </w:tc>
        <w:tc>
          <w:tcPr>
            <w:tcW w:w="51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完成古驿道22处文化设施，1个节点及服务设施建设提升。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8</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阳江市小计</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264</w:t>
            </w:r>
          </w:p>
        </w:tc>
        <w:tc>
          <w:tcPr>
            <w:tcW w:w="51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240" w:lineRule="exact"/>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auto"/>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市直</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264</w:t>
            </w:r>
          </w:p>
        </w:tc>
        <w:tc>
          <w:tcPr>
            <w:tcW w:w="51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新建4公里绿道。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9</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湛江市小计</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581</w:t>
            </w:r>
          </w:p>
        </w:tc>
        <w:tc>
          <w:tcPr>
            <w:tcW w:w="51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240" w:lineRule="exact"/>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auto"/>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市直</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581</w:t>
            </w:r>
          </w:p>
        </w:tc>
        <w:tc>
          <w:tcPr>
            <w:tcW w:w="51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新建9公里绿道。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10</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茂名市小计</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3023</w:t>
            </w:r>
          </w:p>
        </w:tc>
        <w:tc>
          <w:tcPr>
            <w:tcW w:w="51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240" w:lineRule="exact"/>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auto"/>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市直</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1323</w:t>
            </w:r>
          </w:p>
        </w:tc>
        <w:tc>
          <w:tcPr>
            <w:tcW w:w="51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新建44公里绿道。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auto"/>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信宜市</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1700</w:t>
            </w:r>
          </w:p>
        </w:tc>
        <w:tc>
          <w:tcPr>
            <w:tcW w:w="51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完成古驿道47公里古驿道路面修复，164个信息牌，21个服务设施建设，6个历史遗存修复。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11</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清远市小计</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2277</w:t>
            </w:r>
          </w:p>
        </w:tc>
        <w:tc>
          <w:tcPr>
            <w:tcW w:w="51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240" w:lineRule="exact"/>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auto"/>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市直</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177</w:t>
            </w:r>
          </w:p>
        </w:tc>
        <w:tc>
          <w:tcPr>
            <w:tcW w:w="51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新建3公里绿道。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auto"/>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连州市</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700</w:t>
            </w:r>
          </w:p>
        </w:tc>
        <w:tc>
          <w:tcPr>
            <w:tcW w:w="51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完成古驿道25处文化设施，10个节点及服务设施建设提升，2公顷植被复原。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auto"/>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阳山县</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1400</w:t>
            </w:r>
          </w:p>
        </w:tc>
        <w:tc>
          <w:tcPr>
            <w:tcW w:w="51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完成古驿道34公里古驿道路面修复，106个信息牌，30个服务设施建设，1个历史遗存修复。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12</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潮州市小计</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97</w:t>
            </w:r>
          </w:p>
        </w:tc>
        <w:tc>
          <w:tcPr>
            <w:tcW w:w="51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240" w:lineRule="exact"/>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auto"/>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市直</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97</w:t>
            </w:r>
          </w:p>
        </w:tc>
        <w:tc>
          <w:tcPr>
            <w:tcW w:w="51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新建1.5公里绿道。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13</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揭阳市小计</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120</w:t>
            </w:r>
          </w:p>
        </w:tc>
        <w:tc>
          <w:tcPr>
            <w:tcW w:w="51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240" w:lineRule="exact"/>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auto"/>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市直</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120</w:t>
            </w:r>
          </w:p>
        </w:tc>
        <w:tc>
          <w:tcPr>
            <w:tcW w:w="51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新建2公里绿道。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14</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云浮市小计</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1682</w:t>
            </w:r>
          </w:p>
        </w:tc>
        <w:tc>
          <w:tcPr>
            <w:tcW w:w="51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240" w:lineRule="exact"/>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auto"/>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市直</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682</w:t>
            </w:r>
          </w:p>
        </w:tc>
        <w:tc>
          <w:tcPr>
            <w:tcW w:w="51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新建11公里绿道。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auto"/>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郁南县</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1000</w:t>
            </w:r>
          </w:p>
        </w:tc>
        <w:tc>
          <w:tcPr>
            <w:tcW w:w="51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完成古驿道35处文化设施，9个节点及服务设施建设提升，4公顷植被复原，30个信息牌建设，1个历史遗存修复。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236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二、财政省直管县</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11650</w:t>
            </w:r>
          </w:p>
        </w:tc>
        <w:tc>
          <w:tcPr>
            <w:tcW w:w="51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Lines="0" w:after="0" w:afterLines="0" w:line="240" w:lineRule="exact"/>
              <w:ind w:left="0" w:leftChars="0" w:right="0" w:firstLine="0" w:firstLineChars="0"/>
              <w:jc w:val="left"/>
              <w:outlineLvl w:val="9"/>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1</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南雄市</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2000</w:t>
            </w:r>
          </w:p>
        </w:tc>
        <w:tc>
          <w:tcPr>
            <w:tcW w:w="51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完成古驿道66处文化设施，20个节点及服务设施建设提升，3公顷植被复原，35个信息牌建设，3个历史遗存修复，5公里古驿道路面修复。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2</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乳源县</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1900</w:t>
            </w:r>
          </w:p>
        </w:tc>
        <w:tc>
          <w:tcPr>
            <w:tcW w:w="51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完成古驿道38处文化设施，6个节点及服务设施建设提升，9公顷植被复原，30个信息牌建设，10个历史遗存修复，8公里古驿道路面修复。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3</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连平县</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1900</w:t>
            </w:r>
          </w:p>
        </w:tc>
        <w:tc>
          <w:tcPr>
            <w:tcW w:w="51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完成古驿道32处文化设施，10个节点及服务设施建设提升，1公顷植被复原，143个信息牌建设，4个历史遗存修复，25公里古驿道路面修复。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4</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兴宁市</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450</w:t>
            </w:r>
          </w:p>
        </w:tc>
        <w:tc>
          <w:tcPr>
            <w:tcW w:w="51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完成古驿道10处文化设施，3个节点及服务设施建设提升，4公顷植被复原，2个信息牌建设，0.5公里古驿道路面修复。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5</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大埔县</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800</w:t>
            </w:r>
          </w:p>
        </w:tc>
        <w:tc>
          <w:tcPr>
            <w:tcW w:w="51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完成古驿道18处文化设施，4个节点及服务设施建设提升，2公顷植被复原，28个信息牌建设，1个历史遗存修复，3公里古驿道路面修复。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6</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海丰县</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1900</w:t>
            </w:r>
          </w:p>
        </w:tc>
        <w:tc>
          <w:tcPr>
            <w:tcW w:w="51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完成古驿道28处文化设施，8个节点及服务设施建设提升，3公顷植被复原，3个信息牌建设，2个历史遗存修复，12公里古驿道路面修复。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7</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陆河县</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1700</w:t>
            </w:r>
          </w:p>
        </w:tc>
        <w:tc>
          <w:tcPr>
            <w:tcW w:w="51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完成古驿道45公里古驿道路面修复，313个信息牌，20个服务设施建设，1个历史遗存修复。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8</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英德市</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1000</w:t>
            </w:r>
          </w:p>
        </w:tc>
        <w:tc>
          <w:tcPr>
            <w:tcW w:w="516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left"/>
              <w:textAlignment w:val="center"/>
              <w:outlineLvl w:val="9"/>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完成古驿道71公里古驿道路面修复，139个信息牌，8个服务设施建设，4个历史遗存修复。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236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三、省直部门</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3000</w:t>
            </w:r>
          </w:p>
        </w:tc>
        <w:tc>
          <w:tcPr>
            <w:tcW w:w="5162" w:type="dxa"/>
            <w:tcBorders>
              <w:top w:val="single" w:color="000000" w:sz="4" w:space="0"/>
              <w:left w:val="single" w:color="auto" w:sz="4" w:space="0"/>
              <w:bottom w:val="single" w:color="000000" w:sz="4" w:space="0"/>
              <w:right w:val="single" w:color="000000" w:sz="4" w:space="0"/>
            </w:tcBorders>
            <w:vAlign w:val="center"/>
          </w:tcPr>
          <w:p>
            <w:pPr>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1</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省自然资源厅</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3000</w:t>
            </w:r>
          </w:p>
        </w:tc>
        <w:tc>
          <w:tcPr>
            <w:tcW w:w="5162" w:type="dxa"/>
            <w:tcBorders>
              <w:top w:val="single" w:color="000000" w:sz="4" w:space="0"/>
              <w:left w:val="single" w:color="auto" w:sz="4" w:space="0"/>
              <w:bottom w:val="single" w:color="000000" w:sz="4" w:space="0"/>
              <w:right w:val="single" w:color="000000" w:sz="4" w:space="0"/>
            </w:tcBorders>
            <w:vAlign w:val="center"/>
          </w:tcPr>
          <w:p>
            <w:pPr>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548"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auto"/>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厅机关</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rPr>
              <w:t>45</w:t>
            </w:r>
          </w:p>
        </w:tc>
        <w:tc>
          <w:tcPr>
            <w:tcW w:w="5162"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i w:val="0"/>
                <w:color w:val="auto"/>
                <w:kern w:val="0"/>
                <w:sz w:val="24"/>
                <w:szCs w:val="24"/>
                <w:u w:val="none"/>
                <w:lang w:val="en-US" w:eastAsia="zh-CN"/>
              </w:rPr>
              <w:t>厅机关人员出差调研及日常工作经费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auto"/>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color w:val="000000"/>
                <w:kern w:val="0"/>
                <w:sz w:val="24"/>
                <w:szCs w:val="24"/>
              </w:rPr>
              <w:t>厅政务</w:t>
            </w:r>
            <w:r>
              <w:rPr>
                <w:rFonts w:hint="eastAsia" w:ascii="仿宋" w:hAnsi="仿宋" w:eastAsia="仿宋" w:cs="仿宋"/>
                <w:color w:val="000000"/>
                <w:kern w:val="0"/>
                <w:sz w:val="24"/>
                <w:szCs w:val="24"/>
                <w:lang w:eastAsia="zh-CN"/>
              </w:rPr>
              <w:t>服务</w:t>
            </w:r>
            <w:r>
              <w:rPr>
                <w:rFonts w:hint="eastAsia" w:ascii="仿宋" w:hAnsi="仿宋" w:eastAsia="仿宋" w:cs="仿宋"/>
                <w:color w:val="000000"/>
                <w:kern w:val="0"/>
                <w:sz w:val="24"/>
                <w:szCs w:val="24"/>
              </w:rPr>
              <w:t>中心</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55</w:t>
            </w:r>
          </w:p>
        </w:tc>
        <w:tc>
          <w:tcPr>
            <w:tcW w:w="5162"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color w:val="000000"/>
                <w:kern w:val="0"/>
                <w:sz w:val="24"/>
                <w:szCs w:val="24"/>
              </w:rPr>
              <w:t>其中，用于在中央和省级媒体开展的网络、电视、报刊、出版、新媒体等方面的宣传经费</w:t>
            </w:r>
            <w:r>
              <w:rPr>
                <w:rFonts w:hint="eastAsia" w:ascii="仿宋" w:hAnsi="仿宋" w:eastAsia="仿宋" w:cs="仿宋"/>
                <w:color w:val="000000"/>
                <w:kern w:val="0"/>
                <w:sz w:val="24"/>
                <w:szCs w:val="24"/>
                <w:lang w:val="en-US" w:eastAsia="zh-CN"/>
              </w:rPr>
              <w:t>9</w:t>
            </w:r>
            <w:r>
              <w:rPr>
                <w:rFonts w:hint="eastAsia" w:ascii="仿宋" w:hAnsi="仿宋" w:eastAsia="仿宋" w:cs="仿宋"/>
                <w:color w:val="000000"/>
                <w:kern w:val="0"/>
                <w:sz w:val="24"/>
                <w:szCs w:val="24"/>
              </w:rPr>
              <w:t>00万；用于开展文创活动、驿道游学、驿道讲堂、“三师”下乡等活动推广经费</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65万元；用于开展业务培训经费90万元。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auto"/>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color w:val="000000"/>
                <w:kern w:val="0"/>
                <w:sz w:val="24"/>
                <w:szCs w:val="24"/>
                <w:lang w:eastAsia="zh-CN"/>
              </w:rPr>
              <w:t>省</w:t>
            </w:r>
            <w:r>
              <w:rPr>
                <w:rFonts w:hint="eastAsia" w:ascii="仿宋" w:hAnsi="仿宋" w:eastAsia="仿宋" w:cs="仿宋"/>
                <w:color w:val="000000"/>
                <w:kern w:val="0"/>
                <w:sz w:val="24"/>
                <w:szCs w:val="24"/>
              </w:rPr>
              <w:t>土地调查规划院</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color w:val="000000"/>
                <w:kern w:val="0"/>
                <w:sz w:val="24"/>
                <w:szCs w:val="24"/>
                <w:lang w:val="en-US" w:eastAsia="zh-CN"/>
              </w:rPr>
              <w:t>9</w:t>
            </w:r>
            <w:r>
              <w:rPr>
                <w:rFonts w:hint="eastAsia" w:ascii="仿宋" w:hAnsi="仿宋" w:eastAsia="仿宋" w:cs="仿宋"/>
                <w:color w:val="000000"/>
                <w:kern w:val="0"/>
                <w:sz w:val="24"/>
                <w:szCs w:val="24"/>
              </w:rPr>
              <w:t>00</w:t>
            </w:r>
          </w:p>
        </w:tc>
        <w:tc>
          <w:tcPr>
            <w:tcW w:w="5162"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color w:val="000000"/>
                <w:kern w:val="0"/>
                <w:sz w:val="24"/>
                <w:szCs w:val="24"/>
              </w:rPr>
              <w:t>其中，用于大师小筑及历史遗存设计经费</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00万元；用于高校研究中心及实践基地补助经费250万元；用于开展古驿道沿线植物研究及数据库建设经费200万元；工作性经费及不可预见经费50万元。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auto"/>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color w:val="000000"/>
                <w:kern w:val="0"/>
                <w:sz w:val="24"/>
                <w:szCs w:val="24"/>
                <w:lang w:eastAsia="zh-CN"/>
              </w:rPr>
              <w:t>省</w:t>
            </w:r>
            <w:r>
              <w:rPr>
                <w:rFonts w:hint="eastAsia" w:ascii="仿宋" w:hAnsi="仿宋" w:eastAsia="仿宋" w:cs="仿宋"/>
                <w:color w:val="000000"/>
                <w:kern w:val="0"/>
                <w:sz w:val="24"/>
                <w:szCs w:val="24"/>
              </w:rPr>
              <w:t>地图院</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auto"/>
                <w:sz w:val="24"/>
                <w:szCs w:val="24"/>
                <w:u w:val="none"/>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00</w:t>
            </w:r>
          </w:p>
        </w:tc>
        <w:tc>
          <w:tcPr>
            <w:tcW w:w="5162"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i w:val="0"/>
                <w:color w:val="auto"/>
                <w:kern w:val="0"/>
                <w:sz w:val="24"/>
                <w:szCs w:val="24"/>
                <w:u w:val="none"/>
                <w:lang w:val="en-US" w:eastAsia="zh-CN"/>
              </w:rPr>
            </w:pPr>
            <w:r>
              <w:rPr>
                <w:rFonts w:hint="eastAsia" w:ascii="仿宋" w:hAnsi="仿宋" w:eastAsia="仿宋" w:cs="仿宋"/>
                <w:color w:val="000000"/>
                <w:kern w:val="0"/>
                <w:sz w:val="24"/>
                <w:szCs w:val="24"/>
              </w:rPr>
              <w:t>数字化地图研制、地图制作出版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3" w:hRule="atLeast"/>
          <w:tblHeader/>
          <w:jc w:val="center"/>
        </w:trPr>
        <w:tc>
          <w:tcPr>
            <w:tcW w:w="69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color w:val="auto"/>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省国土资源测绘院</w:t>
            </w: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100</w:t>
            </w:r>
          </w:p>
        </w:tc>
        <w:tc>
          <w:tcPr>
            <w:tcW w:w="5162"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南粤</w:t>
            </w:r>
            <w:r>
              <w:rPr>
                <w:rFonts w:hint="eastAsia" w:ascii="仿宋" w:hAnsi="仿宋" w:eastAsia="仿宋" w:cs="仿宋"/>
                <w:color w:val="000000"/>
                <w:kern w:val="0"/>
                <w:sz w:val="24"/>
                <w:szCs w:val="24"/>
              </w:rPr>
              <w:t>古驿道</w:t>
            </w:r>
            <w:r>
              <w:rPr>
                <w:rFonts w:hint="eastAsia" w:ascii="仿宋" w:hAnsi="仿宋" w:eastAsia="仿宋" w:cs="仿宋"/>
                <w:color w:val="000000"/>
                <w:kern w:val="0"/>
                <w:sz w:val="24"/>
                <w:szCs w:val="24"/>
                <w:lang w:eastAsia="zh-CN"/>
              </w:rPr>
              <w:t>重点线路和示范段</w:t>
            </w:r>
            <w:r>
              <w:rPr>
                <w:rFonts w:hint="eastAsia" w:ascii="仿宋" w:hAnsi="仿宋" w:eastAsia="仿宋" w:cs="仿宋"/>
                <w:color w:val="000000"/>
                <w:kern w:val="0"/>
                <w:sz w:val="24"/>
                <w:szCs w:val="24"/>
              </w:rPr>
              <w:t>测绘</w:t>
            </w:r>
          </w:p>
        </w:tc>
      </w:tr>
    </w:tbl>
    <w:p>
      <w:pPr>
        <w:widowControl w:val="0"/>
        <w:numPr>
          <w:numId w:val="0"/>
        </w:numPr>
        <w:wordWrap/>
        <w:adjustRightInd/>
        <w:snapToGrid/>
        <w:spacing w:line="560" w:lineRule="exact"/>
        <w:ind w:left="0" w:leftChars="0" w:right="0" w:firstLine="0" w:firstLineChars="0"/>
        <w:jc w:val="both"/>
        <w:textAlignment w:val="auto"/>
        <w:outlineLvl w:val="9"/>
        <w:rPr>
          <w:rFonts w:hint="eastAsia" w:ascii="仿宋" w:hAnsi="仿宋" w:eastAsia="仿宋" w:cs="仿宋"/>
          <w:color w:val="auto"/>
          <w:sz w:val="24"/>
          <w:szCs w:val="24"/>
          <w:lang w:val="en-US" w:eastAsia="zh-CN"/>
        </w:rPr>
      </w:pPr>
    </w:p>
    <w:p>
      <w:pPr>
        <w:widowControl w:val="0"/>
        <w:numPr>
          <w:numId w:val="0"/>
        </w:numPr>
        <w:wordWrap/>
        <w:adjustRightInd/>
        <w:snapToGrid/>
        <w:spacing w:line="560" w:lineRule="exact"/>
        <w:ind w:left="0" w:leftChars="0" w:right="0" w:firstLine="0" w:firstLineChars="0"/>
        <w:jc w:val="both"/>
        <w:textAlignment w:val="auto"/>
        <w:outlineLvl w:val="9"/>
        <w:rPr>
          <w:rFonts w:hint="eastAsia" w:ascii="仿宋" w:hAnsi="仿宋" w:eastAsia="仿宋" w:cs="仿宋"/>
          <w:color w:val="auto"/>
          <w:sz w:val="32"/>
          <w:szCs w:val="32"/>
          <w:lang w:val="en-US" w:eastAsia="zh-CN"/>
        </w:rPr>
        <w:sectPr>
          <w:footerReference r:id="rId4" w:type="default"/>
          <w:pgSz w:w="11906" w:h="16838"/>
          <w:pgMar w:top="2098" w:right="1474" w:bottom="1984" w:left="1587" w:header="851" w:footer="1474" w:gutter="0"/>
          <w:cols w:space="720" w:num="1"/>
          <w:rtlGutter w:val="0"/>
          <w:docGrid w:type="lines" w:linePitch="318" w:charSpace="0"/>
        </w:sectPr>
      </w:pPr>
    </w:p>
    <w:tbl>
      <w:tblPr>
        <w:tblStyle w:val="4"/>
        <w:tblW w:w="14091" w:type="dxa"/>
        <w:jc w:val="center"/>
        <w:tblInd w:w="-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020"/>
        <w:gridCol w:w="286"/>
        <w:gridCol w:w="743"/>
        <w:gridCol w:w="313"/>
        <w:gridCol w:w="797"/>
        <w:gridCol w:w="319"/>
        <w:gridCol w:w="2598"/>
        <w:gridCol w:w="68"/>
        <w:gridCol w:w="2177"/>
        <w:gridCol w:w="771"/>
        <w:gridCol w:w="52"/>
        <w:gridCol w:w="705"/>
        <w:gridCol w:w="119"/>
        <w:gridCol w:w="646"/>
        <w:gridCol w:w="188"/>
        <w:gridCol w:w="607"/>
        <w:gridCol w:w="277"/>
        <w:gridCol w:w="458"/>
        <w:gridCol w:w="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1" w:hRule="atLeast"/>
          <w:jc w:val="center"/>
        </w:trPr>
        <w:tc>
          <w:tcPr>
            <w:tcW w:w="2020" w:type="dxa"/>
            <w:vAlign w:val="center"/>
          </w:tcPr>
          <w:p>
            <w:pPr>
              <w:widowControl/>
              <w:jc w:val="left"/>
              <w:textAlignment w:val="center"/>
              <w:rPr>
                <w:rFonts w:ascii="黑体" w:hAnsi="宋体" w:eastAsia="黑体" w:cs="黑体"/>
                <w:i w:val="0"/>
                <w:color w:val="000000"/>
                <w:sz w:val="36"/>
                <w:szCs w:val="36"/>
                <w:u w:val="none"/>
              </w:rPr>
            </w:pPr>
          </w:p>
        </w:tc>
        <w:tc>
          <w:tcPr>
            <w:tcW w:w="1342" w:type="dxa"/>
            <w:gridSpan w:val="3"/>
            <w:vAlign w:val="center"/>
          </w:tcPr>
          <w:p>
            <w:pPr>
              <w:rPr>
                <w:rFonts w:hint="eastAsia" w:ascii="宋体" w:hAnsi="宋体" w:eastAsia="宋体" w:cs="宋体"/>
                <w:i w:val="0"/>
                <w:color w:val="000000"/>
                <w:sz w:val="24"/>
                <w:szCs w:val="24"/>
                <w:u w:val="none"/>
              </w:rPr>
            </w:pPr>
          </w:p>
        </w:tc>
        <w:tc>
          <w:tcPr>
            <w:tcW w:w="1116" w:type="dxa"/>
            <w:gridSpan w:val="2"/>
            <w:vAlign w:val="center"/>
          </w:tcPr>
          <w:p>
            <w:pPr>
              <w:rPr>
                <w:rFonts w:hint="eastAsia" w:ascii="宋体" w:hAnsi="宋体" w:eastAsia="宋体" w:cs="宋体"/>
                <w:i w:val="0"/>
                <w:color w:val="000000"/>
                <w:sz w:val="24"/>
                <w:szCs w:val="24"/>
                <w:u w:val="none"/>
              </w:rPr>
            </w:pPr>
          </w:p>
        </w:tc>
        <w:tc>
          <w:tcPr>
            <w:tcW w:w="2598" w:type="dxa"/>
            <w:vAlign w:val="center"/>
          </w:tcPr>
          <w:p>
            <w:pPr>
              <w:rPr>
                <w:rFonts w:hint="eastAsia" w:ascii="宋体" w:hAnsi="宋体" w:eastAsia="宋体" w:cs="宋体"/>
                <w:i w:val="0"/>
                <w:color w:val="000000"/>
                <w:sz w:val="24"/>
                <w:szCs w:val="24"/>
                <w:u w:val="none"/>
              </w:rPr>
            </w:pPr>
          </w:p>
        </w:tc>
        <w:tc>
          <w:tcPr>
            <w:tcW w:w="2245" w:type="dxa"/>
            <w:gridSpan w:val="2"/>
            <w:vAlign w:val="center"/>
          </w:tcPr>
          <w:p>
            <w:pPr>
              <w:rPr>
                <w:rFonts w:hint="eastAsia" w:ascii="宋体" w:hAnsi="宋体" w:eastAsia="宋体" w:cs="宋体"/>
                <w:i w:val="0"/>
                <w:color w:val="000000"/>
                <w:sz w:val="24"/>
                <w:szCs w:val="24"/>
                <w:u w:val="none"/>
              </w:rPr>
            </w:pPr>
          </w:p>
        </w:tc>
        <w:tc>
          <w:tcPr>
            <w:tcW w:w="771" w:type="dxa"/>
            <w:vAlign w:val="center"/>
          </w:tcPr>
          <w:p>
            <w:pPr>
              <w:rPr>
                <w:rFonts w:hint="eastAsia" w:ascii="宋体" w:hAnsi="宋体" w:eastAsia="宋体" w:cs="宋体"/>
                <w:i w:val="0"/>
                <w:color w:val="000000"/>
                <w:sz w:val="24"/>
                <w:szCs w:val="24"/>
                <w:u w:val="none"/>
              </w:rPr>
            </w:pPr>
          </w:p>
        </w:tc>
        <w:tc>
          <w:tcPr>
            <w:tcW w:w="876" w:type="dxa"/>
            <w:gridSpan w:val="3"/>
            <w:vAlign w:val="center"/>
          </w:tcPr>
          <w:p>
            <w:pPr>
              <w:rPr>
                <w:rFonts w:hint="eastAsia" w:ascii="宋体" w:hAnsi="宋体" w:eastAsia="宋体" w:cs="宋体"/>
                <w:i w:val="0"/>
                <w:color w:val="000000"/>
                <w:sz w:val="24"/>
                <w:szCs w:val="24"/>
                <w:u w:val="none"/>
              </w:rPr>
            </w:pPr>
          </w:p>
        </w:tc>
        <w:tc>
          <w:tcPr>
            <w:tcW w:w="834" w:type="dxa"/>
            <w:gridSpan w:val="2"/>
            <w:vAlign w:val="center"/>
          </w:tcPr>
          <w:p>
            <w:pPr>
              <w:rPr>
                <w:rFonts w:hint="eastAsia" w:ascii="宋体" w:hAnsi="宋体" w:eastAsia="宋体" w:cs="宋体"/>
                <w:i w:val="0"/>
                <w:color w:val="000000"/>
                <w:sz w:val="24"/>
                <w:szCs w:val="24"/>
                <w:u w:val="none"/>
              </w:rPr>
            </w:pPr>
          </w:p>
        </w:tc>
        <w:tc>
          <w:tcPr>
            <w:tcW w:w="884" w:type="dxa"/>
            <w:gridSpan w:val="2"/>
            <w:vAlign w:val="center"/>
          </w:tcPr>
          <w:p>
            <w:pPr>
              <w:rPr>
                <w:rFonts w:hint="eastAsia" w:ascii="宋体" w:hAnsi="宋体" w:eastAsia="宋体" w:cs="宋体"/>
                <w:i w:val="0"/>
                <w:color w:val="000000"/>
                <w:sz w:val="24"/>
                <w:szCs w:val="24"/>
                <w:u w:val="none"/>
              </w:rPr>
            </w:pPr>
          </w:p>
        </w:tc>
        <w:tc>
          <w:tcPr>
            <w:tcW w:w="1405" w:type="dxa"/>
            <w:gridSpan w:val="2"/>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4" w:hRule="atLeast"/>
          <w:jc w:val="center"/>
        </w:trPr>
        <w:tc>
          <w:tcPr>
            <w:tcW w:w="14091" w:type="dxa"/>
            <w:gridSpan w:val="19"/>
            <w:vAlign w:val="center"/>
          </w:tcPr>
          <w:p>
            <w:pPr>
              <w:widowControl/>
              <w:jc w:val="center"/>
              <w:textAlignment w:val="center"/>
              <w:rPr>
                <w:rFonts w:ascii="方正小标宋简体" w:hAnsi="方正小标宋简体" w:eastAsia="方正小标宋简体" w:cs="方正小标宋简体"/>
                <w:i w:val="0"/>
                <w:color w:val="000000"/>
                <w:sz w:val="48"/>
                <w:szCs w:val="48"/>
                <w:u w:val="none"/>
              </w:rPr>
            </w:pPr>
            <w:r>
              <w:rPr>
                <w:rFonts w:hint="eastAsia" w:ascii="宋体" w:hAnsi="宋体" w:eastAsia="宋体" w:cs="宋体"/>
                <w:b/>
                <w:bCs/>
                <w:i w:val="0"/>
                <w:color w:val="000000"/>
                <w:kern w:val="0"/>
                <w:sz w:val="44"/>
                <w:szCs w:val="44"/>
                <w:u w:val="none"/>
                <w:lang w:val="en-US" w:eastAsia="zh-CN"/>
              </w:rPr>
              <w:t>2019年省级财政专项资金</w:t>
            </w:r>
            <w:r>
              <w:rPr>
                <w:rFonts w:hint="eastAsia" w:ascii="宋体" w:hAnsi="宋体" w:cs="宋体"/>
                <w:b/>
                <w:bCs/>
                <w:i w:val="0"/>
                <w:color w:val="000000"/>
                <w:kern w:val="0"/>
                <w:sz w:val="44"/>
                <w:szCs w:val="44"/>
                <w:u w:val="none"/>
                <w:lang w:val="en-US" w:eastAsia="zh-CN"/>
              </w:rPr>
              <w:t>（</w:t>
            </w:r>
            <w:r>
              <w:rPr>
                <w:rFonts w:hint="eastAsia" w:ascii="宋体" w:hAnsi="宋体" w:eastAsia="宋体" w:cs="宋体"/>
                <w:b/>
                <w:bCs/>
                <w:i w:val="0"/>
                <w:color w:val="000000"/>
                <w:kern w:val="0"/>
                <w:sz w:val="44"/>
                <w:szCs w:val="44"/>
                <w:u w:val="none"/>
                <w:lang w:val="en-US" w:eastAsia="zh-CN"/>
              </w:rPr>
              <w:t>南粤古驿道保护利用</w:t>
            </w:r>
            <w:r>
              <w:rPr>
                <w:rFonts w:hint="eastAsia" w:ascii="宋体" w:hAnsi="宋体" w:cs="宋体"/>
                <w:b/>
                <w:bCs/>
                <w:i w:val="0"/>
                <w:color w:val="000000"/>
                <w:kern w:val="0"/>
                <w:sz w:val="44"/>
                <w:szCs w:val="44"/>
                <w:u w:val="none"/>
                <w:lang w:val="en-US" w:eastAsia="zh-CN"/>
              </w:rPr>
              <w:t>）</w:t>
            </w:r>
            <w:r>
              <w:rPr>
                <w:rFonts w:hint="eastAsia" w:ascii="宋体" w:hAnsi="宋体" w:eastAsia="宋体" w:cs="宋体"/>
                <w:b/>
                <w:bCs/>
                <w:i w:val="0"/>
                <w:color w:val="000000"/>
                <w:kern w:val="0"/>
                <w:sz w:val="44"/>
                <w:szCs w:val="44"/>
                <w:u w:val="none"/>
                <w:lang w:val="en-US" w:eastAsia="zh-CN"/>
              </w:rPr>
              <w:t>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4159" w:type="dxa"/>
            <w:gridSpan w:val="5"/>
            <w:vAlign w:val="center"/>
          </w:tcPr>
          <w:p>
            <w:pP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主管部门：广东省自然资源厅</w:t>
            </w:r>
          </w:p>
        </w:tc>
        <w:tc>
          <w:tcPr>
            <w:tcW w:w="2985" w:type="dxa"/>
            <w:gridSpan w:val="3"/>
            <w:vAlign w:val="center"/>
          </w:tcPr>
          <w:p>
            <w:pPr>
              <w:rPr>
                <w:rFonts w:hint="eastAsia" w:ascii="宋体" w:hAnsi="宋体" w:eastAsia="宋体" w:cs="宋体"/>
                <w:i w:val="0"/>
                <w:color w:val="000000"/>
                <w:sz w:val="24"/>
                <w:szCs w:val="24"/>
                <w:u w:val="none"/>
              </w:rPr>
            </w:pPr>
          </w:p>
        </w:tc>
        <w:tc>
          <w:tcPr>
            <w:tcW w:w="3000" w:type="dxa"/>
            <w:gridSpan w:val="3"/>
            <w:vAlign w:val="center"/>
          </w:tcPr>
          <w:p>
            <w:pPr>
              <w:rPr>
                <w:rFonts w:hint="eastAsia" w:ascii="宋体" w:hAnsi="宋体" w:eastAsia="宋体" w:cs="宋体"/>
                <w:i w:val="0"/>
                <w:color w:val="000000"/>
                <w:sz w:val="24"/>
                <w:szCs w:val="24"/>
                <w:u w:val="none"/>
              </w:rPr>
            </w:pPr>
          </w:p>
        </w:tc>
        <w:tc>
          <w:tcPr>
            <w:tcW w:w="705" w:type="dxa"/>
            <w:vAlign w:val="center"/>
          </w:tcPr>
          <w:p>
            <w:pPr>
              <w:rPr>
                <w:rFonts w:hint="eastAsia" w:ascii="宋体" w:hAnsi="宋体" w:eastAsia="宋体" w:cs="宋体"/>
                <w:i w:val="0"/>
                <w:color w:val="000000"/>
                <w:sz w:val="24"/>
                <w:szCs w:val="24"/>
                <w:u w:val="none"/>
              </w:rPr>
            </w:pPr>
          </w:p>
        </w:tc>
        <w:tc>
          <w:tcPr>
            <w:tcW w:w="119" w:type="dxa"/>
            <w:vAlign w:val="center"/>
          </w:tcPr>
          <w:p>
            <w:pPr>
              <w:rPr>
                <w:rFonts w:hint="eastAsia" w:ascii="宋体" w:hAnsi="宋体" w:eastAsia="宋体" w:cs="宋体"/>
                <w:i w:val="0"/>
                <w:color w:val="000000"/>
                <w:sz w:val="24"/>
                <w:szCs w:val="24"/>
                <w:u w:val="none"/>
              </w:rPr>
            </w:pPr>
          </w:p>
        </w:tc>
        <w:tc>
          <w:tcPr>
            <w:tcW w:w="834" w:type="dxa"/>
            <w:gridSpan w:val="2"/>
            <w:vAlign w:val="center"/>
          </w:tcPr>
          <w:p>
            <w:pPr>
              <w:rPr>
                <w:rFonts w:hint="eastAsia" w:ascii="宋体" w:hAnsi="宋体" w:eastAsia="宋体" w:cs="宋体"/>
                <w:i w:val="0"/>
                <w:color w:val="000000"/>
                <w:sz w:val="24"/>
                <w:szCs w:val="24"/>
                <w:u w:val="none"/>
              </w:rPr>
            </w:pPr>
          </w:p>
        </w:tc>
        <w:tc>
          <w:tcPr>
            <w:tcW w:w="2289" w:type="dxa"/>
            <w:gridSpan w:val="4"/>
            <w:vAlign w:val="center"/>
          </w:tcPr>
          <w:p>
            <w:pPr>
              <w:widowControl/>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3" w:hRule="atLeast"/>
          <w:jc w:val="center"/>
        </w:trPr>
        <w:tc>
          <w:tcPr>
            <w:tcW w:w="230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val="0"/>
                <w:i w:val="0"/>
                <w:color w:val="000000"/>
                <w:sz w:val="28"/>
                <w:szCs w:val="28"/>
                <w:u w:val="none"/>
              </w:rPr>
            </w:pPr>
            <w:r>
              <w:rPr>
                <w:rFonts w:hint="eastAsia" w:ascii="宋体" w:hAnsi="宋体" w:eastAsia="宋体" w:cs="宋体"/>
                <w:b/>
                <w:bCs w:val="0"/>
                <w:i w:val="0"/>
                <w:color w:val="000000"/>
                <w:kern w:val="0"/>
                <w:sz w:val="28"/>
                <w:szCs w:val="28"/>
                <w:u w:val="none"/>
                <w:lang w:val="en-US" w:eastAsia="zh-CN"/>
              </w:rPr>
              <w:t>专项资金名称</w:t>
            </w:r>
            <w:r>
              <w:rPr>
                <w:rFonts w:hint="eastAsia" w:ascii="宋体" w:hAnsi="宋体" w:eastAsia="宋体" w:cs="宋体"/>
                <w:b/>
                <w:bCs w:val="0"/>
                <w:i w:val="0"/>
                <w:color w:val="000000"/>
                <w:kern w:val="0"/>
                <w:sz w:val="28"/>
                <w:szCs w:val="28"/>
                <w:u w:val="none"/>
                <w:lang w:val="en-US" w:eastAsia="zh-CN"/>
              </w:rPr>
              <w:br/>
            </w:r>
            <w:r>
              <w:rPr>
                <w:rFonts w:hint="eastAsia" w:ascii="宋体" w:hAnsi="宋体" w:eastAsia="宋体" w:cs="宋体"/>
                <w:b/>
                <w:bCs w:val="0"/>
                <w:i w:val="0"/>
                <w:color w:val="000000"/>
                <w:kern w:val="0"/>
                <w:sz w:val="28"/>
                <w:szCs w:val="28"/>
                <w:u w:val="none"/>
                <w:lang w:val="en-US" w:eastAsia="zh-CN"/>
              </w:rPr>
              <w:t>（战略领域名称）</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val="0"/>
                <w:i w:val="0"/>
                <w:color w:val="000000"/>
                <w:sz w:val="28"/>
                <w:szCs w:val="28"/>
                <w:u w:val="none"/>
              </w:rPr>
            </w:pPr>
            <w:r>
              <w:rPr>
                <w:rFonts w:hint="eastAsia" w:ascii="宋体" w:hAnsi="宋体" w:eastAsia="宋体" w:cs="宋体"/>
                <w:b/>
                <w:bCs w:val="0"/>
                <w:i w:val="0"/>
                <w:color w:val="000000"/>
                <w:kern w:val="0"/>
                <w:sz w:val="28"/>
                <w:szCs w:val="28"/>
                <w:u w:val="none"/>
                <w:lang w:val="en-US" w:eastAsia="zh-CN"/>
              </w:rPr>
              <w:t>财政事权</w:t>
            </w:r>
          </w:p>
        </w:tc>
        <w:tc>
          <w:tcPr>
            <w:tcW w:w="111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val="0"/>
                <w:i w:val="0"/>
                <w:color w:val="000000"/>
                <w:sz w:val="28"/>
                <w:szCs w:val="28"/>
                <w:u w:val="none"/>
              </w:rPr>
            </w:pPr>
            <w:r>
              <w:rPr>
                <w:rFonts w:hint="eastAsia" w:ascii="宋体" w:hAnsi="宋体" w:eastAsia="宋体" w:cs="宋体"/>
                <w:b/>
                <w:bCs w:val="0"/>
                <w:i w:val="0"/>
                <w:color w:val="000000"/>
                <w:kern w:val="0"/>
                <w:sz w:val="28"/>
                <w:szCs w:val="28"/>
                <w:u w:val="none"/>
                <w:lang w:val="en-US" w:eastAsia="zh-CN"/>
              </w:rPr>
              <w:t>政策任务</w:t>
            </w:r>
          </w:p>
        </w:tc>
        <w:tc>
          <w:tcPr>
            <w:tcW w:w="2985"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val="0"/>
                <w:i w:val="0"/>
                <w:color w:val="000000"/>
                <w:sz w:val="28"/>
                <w:szCs w:val="28"/>
                <w:u w:val="none"/>
              </w:rPr>
            </w:pPr>
            <w:r>
              <w:rPr>
                <w:rFonts w:hint="eastAsia" w:ascii="宋体" w:hAnsi="宋体" w:eastAsia="宋体" w:cs="宋体"/>
                <w:b/>
                <w:bCs w:val="0"/>
                <w:i w:val="0"/>
                <w:color w:val="000000"/>
                <w:kern w:val="0"/>
                <w:sz w:val="28"/>
                <w:szCs w:val="28"/>
                <w:u w:val="none"/>
                <w:lang w:val="en-US" w:eastAsia="zh-CN"/>
              </w:rPr>
              <w:t>主要用途</w:t>
            </w:r>
          </w:p>
        </w:tc>
        <w:tc>
          <w:tcPr>
            <w:tcW w:w="3000"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val="0"/>
                <w:i w:val="0"/>
                <w:color w:val="000000"/>
                <w:sz w:val="28"/>
                <w:szCs w:val="28"/>
                <w:u w:val="none"/>
              </w:rPr>
            </w:pPr>
            <w:r>
              <w:rPr>
                <w:rFonts w:hint="eastAsia" w:ascii="宋体" w:hAnsi="宋体" w:eastAsia="宋体" w:cs="宋体"/>
                <w:b/>
                <w:bCs w:val="0"/>
                <w:i w:val="0"/>
                <w:color w:val="000000"/>
                <w:kern w:val="0"/>
                <w:sz w:val="28"/>
                <w:szCs w:val="28"/>
                <w:u w:val="none"/>
                <w:lang w:val="en-US" w:eastAsia="zh-CN"/>
              </w:rPr>
              <w:t>绩效目标</w:t>
            </w:r>
          </w:p>
        </w:tc>
        <w:tc>
          <w:tcPr>
            <w:tcW w:w="7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val="0"/>
                <w:i w:val="0"/>
                <w:color w:val="000000"/>
                <w:sz w:val="28"/>
                <w:szCs w:val="28"/>
                <w:u w:val="none"/>
              </w:rPr>
            </w:pPr>
            <w:r>
              <w:rPr>
                <w:rFonts w:hint="eastAsia" w:ascii="宋体" w:hAnsi="宋体" w:eastAsia="宋体" w:cs="宋体"/>
                <w:b/>
                <w:bCs w:val="0"/>
                <w:i w:val="0"/>
                <w:color w:val="000000"/>
                <w:kern w:val="0"/>
                <w:sz w:val="28"/>
                <w:szCs w:val="28"/>
                <w:u w:val="none"/>
                <w:lang w:val="en-US" w:eastAsia="zh-CN"/>
              </w:rPr>
              <w:t>资金额度</w:t>
            </w:r>
          </w:p>
        </w:tc>
        <w:tc>
          <w:tcPr>
            <w:tcW w:w="229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val="0"/>
                <w:i w:val="0"/>
                <w:color w:val="000000"/>
                <w:sz w:val="28"/>
                <w:szCs w:val="28"/>
                <w:u w:val="none"/>
              </w:rPr>
            </w:pPr>
            <w:r>
              <w:rPr>
                <w:rFonts w:hint="eastAsia" w:ascii="宋体" w:hAnsi="宋体" w:eastAsia="宋体" w:cs="宋体"/>
                <w:b/>
                <w:bCs w:val="0"/>
                <w:i w:val="0"/>
                <w:color w:val="000000"/>
                <w:kern w:val="0"/>
                <w:sz w:val="28"/>
                <w:szCs w:val="28"/>
                <w:u w:val="none"/>
                <w:lang w:val="en-US" w:eastAsia="zh-CN"/>
              </w:rPr>
              <w:t>审批权限设置</w:t>
            </w:r>
          </w:p>
        </w:tc>
        <w:tc>
          <w:tcPr>
            <w:tcW w:w="9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val="0"/>
                <w:i w:val="0"/>
                <w:color w:val="000000"/>
                <w:sz w:val="28"/>
                <w:szCs w:val="28"/>
                <w:u w:val="none"/>
              </w:rPr>
            </w:pPr>
            <w:r>
              <w:rPr>
                <w:rFonts w:hint="eastAsia" w:ascii="宋体" w:hAnsi="宋体" w:eastAsia="宋体" w:cs="宋体"/>
                <w:b/>
                <w:bCs w:val="0"/>
                <w:i w:val="0"/>
                <w:color w:val="000000"/>
                <w:kern w:val="0"/>
                <w:sz w:val="28"/>
                <w:szCs w:val="28"/>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85" w:hRule="atLeast"/>
          <w:jc w:val="center"/>
        </w:trPr>
        <w:tc>
          <w:tcPr>
            <w:tcW w:w="230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val="0"/>
                <w:i w:val="0"/>
                <w:color w:val="000000"/>
                <w:sz w:val="28"/>
                <w:szCs w:val="28"/>
                <w:u w:val="none"/>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val="0"/>
                <w:i w:val="0"/>
                <w:color w:val="000000"/>
                <w:sz w:val="28"/>
                <w:szCs w:val="28"/>
                <w:u w:val="none"/>
              </w:rPr>
            </w:pPr>
          </w:p>
        </w:tc>
        <w:tc>
          <w:tcPr>
            <w:tcW w:w="111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val="0"/>
                <w:i w:val="0"/>
                <w:color w:val="000000"/>
                <w:sz w:val="28"/>
                <w:szCs w:val="28"/>
                <w:u w:val="none"/>
              </w:rPr>
            </w:pPr>
          </w:p>
        </w:tc>
        <w:tc>
          <w:tcPr>
            <w:tcW w:w="298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val="0"/>
                <w:i w:val="0"/>
                <w:color w:val="000000"/>
                <w:sz w:val="28"/>
                <w:szCs w:val="28"/>
                <w:u w:val="none"/>
              </w:rPr>
            </w:pPr>
          </w:p>
        </w:tc>
        <w:tc>
          <w:tcPr>
            <w:tcW w:w="3000"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val="0"/>
                <w:i w:val="0"/>
                <w:color w:val="000000"/>
                <w:sz w:val="28"/>
                <w:szCs w:val="28"/>
                <w:u w:val="none"/>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val="0"/>
                <w:i w:val="0"/>
                <w:color w:val="000000"/>
                <w:sz w:val="28"/>
                <w:szCs w:val="28"/>
                <w:u w:val="none"/>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jc w:val="center"/>
              <w:textAlignment w:val="center"/>
              <w:rPr>
                <w:rFonts w:hint="eastAsia" w:ascii="宋体" w:hAnsi="宋体" w:eastAsia="宋体" w:cs="宋体"/>
                <w:b/>
                <w:bCs w:val="0"/>
                <w:i w:val="0"/>
                <w:color w:val="000000"/>
                <w:sz w:val="28"/>
                <w:szCs w:val="28"/>
                <w:u w:val="none"/>
              </w:rPr>
            </w:pPr>
            <w:r>
              <w:rPr>
                <w:rFonts w:hint="eastAsia" w:ascii="宋体" w:hAnsi="宋体" w:eastAsia="宋体" w:cs="宋体"/>
                <w:b/>
                <w:bCs w:val="0"/>
                <w:i w:val="0"/>
                <w:color w:val="000000"/>
                <w:kern w:val="0"/>
                <w:sz w:val="28"/>
                <w:szCs w:val="28"/>
                <w:u w:val="none"/>
                <w:lang w:val="en-US" w:eastAsia="zh-CN"/>
              </w:rPr>
              <w:t>保留省级审批</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jc w:val="center"/>
              <w:textAlignment w:val="center"/>
              <w:rPr>
                <w:rFonts w:hint="eastAsia" w:ascii="宋体" w:hAnsi="宋体" w:eastAsia="宋体" w:cs="宋体"/>
                <w:b/>
                <w:bCs w:val="0"/>
                <w:i w:val="0"/>
                <w:color w:val="000000"/>
                <w:sz w:val="28"/>
                <w:szCs w:val="28"/>
                <w:u w:val="none"/>
              </w:rPr>
            </w:pPr>
            <w:r>
              <w:rPr>
                <w:rFonts w:hint="eastAsia" w:ascii="宋体" w:hAnsi="宋体" w:eastAsia="宋体" w:cs="宋体"/>
                <w:b/>
                <w:bCs w:val="0"/>
                <w:i w:val="0"/>
                <w:color w:val="000000"/>
                <w:kern w:val="0"/>
                <w:sz w:val="28"/>
                <w:szCs w:val="28"/>
                <w:u w:val="none"/>
                <w:lang w:val="en-US" w:eastAsia="zh-CN"/>
              </w:rPr>
              <w:t>下放用款单位</w:t>
            </w:r>
          </w:p>
        </w:tc>
        <w:tc>
          <w:tcPr>
            <w:tcW w:w="73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Lines="0" w:afterLines="0"/>
              <w:jc w:val="center"/>
              <w:textAlignment w:val="center"/>
              <w:rPr>
                <w:rFonts w:hint="eastAsia" w:ascii="宋体" w:hAnsi="宋体" w:eastAsia="宋体" w:cs="宋体"/>
                <w:b/>
                <w:bCs w:val="0"/>
                <w:i w:val="0"/>
                <w:color w:val="000000"/>
                <w:sz w:val="28"/>
                <w:szCs w:val="28"/>
                <w:u w:val="none"/>
              </w:rPr>
            </w:pPr>
            <w:r>
              <w:rPr>
                <w:rFonts w:hint="eastAsia" w:ascii="宋体" w:hAnsi="宋体" w:eastAsia="宋体" w:cs="宋体"/>
                <w:b/>
                <w:bCs w:val="0"/>
                <w:i w:val="0"/>
                <w:color w:val="000000"/>
                <w:kern w:val="0"/>
                <w:sz w:val="28"/>
                <w:szCs w:val="28"/>
                <w:u w:val="none"/>
                <w:lang w:val="en-US" w:eastAsia="zh-CN"/>
              </w:rPr>
              <w:t>下放市县</w:t>
            </w:r>
          </w:p>
        </w:tc>
        <w:tc>
          <w:tcPr>
            <w:tcW w:w="9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val="0"/>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21" w:hRule="atLeast"/>
          <w:jc w:val="center"/>
        </w:trPr>
        <w:tc>
          <w:tcPr>
            <w:tcW w:w="230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color w:val="000000"/>
                <w:kern w:val="0"/>
                <w:sz w:val="24"/>
                <w:szCs w:val="24"/>
                <w:u w:val="none"/>
                <w:lang w:val="en-US" w:eastAsia="zh-CN"/>
              </w:rPr>
            </w:pPr>
            <w:r>
              <w:rPr>
                <w:rFonts w:hint="eastAsia" w:ascii="宋体" w:hAnsi="宋体" w:eastAsia="宋体" w:cs="宋体"/>
                <w:b/>
                <w:bCs/>
                <w:i w:val="0"/>
                <w:color w:val="000000"/>
                <w:kern w:val="0"/>
                <w:sz w:val="24"/>
                <w:szCs w:val="24"/>
                <w:u w:val="none"/>
                <w:lang w:val="en-US" w:eastAsia="zh-CN"/>
              </w:rPr>
              <w:t>乡村振兴</w:t>
            </w:r>
          </w:p>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宋体" w:hAnsi="宋体" w:eastAsia="宋体" w:cs="宋体"/>
                <w:b/>
                <w:bCs/>
                <w:i w:val="0"/>
                <w:color w:val="000000"/>
                <w:kern w:val="0"/>
                <w:sz w:val="24"/>
                <w:szCs w:val="24"/>
                <w:u w:val="none"/>
                <w:lang w:val="en-US" w:eastAsia="zh-CN"/>
              </w:rPr>
              <w:t>战略专项资金</w:t>
            </w:r>
          </w:p>
        </w:tc>
        <w:tc>
          <w:tcPr>
            <w:tcW w:w="74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农村人居环境整治</w:t>
            </w: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南粤古驿道保护利用</w:t>
            </w:r>
          </w:p>
        </w:tc>
        <w:tc>
          <w:tcPr>
            <w:tcW w:w="29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主要用于南粤古驿道重点线路和示范段所在县市开展文化展示及主体挖掘、生态复原与提升、节点及服务设施提升、遗存修复及线路延伸及南粤古驿道拓展新增工作；粤东西北12市开展新增绿道建设；省本级开展南粤古驿道相关规划设计研究、调研培训、活动组织及宣传推广等。</w:t>
            </w:r>
          </w:p>
        </w:tc>
        <w:tc>
          <w:tcPr>
            <w:tcW w:w="3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完成15个南粤古驿道重点线路和示范段巩固提升工作；完成5条南粤古驿道的拓展新增工作；粤东西北12市新建绿道不少于130公里；不造成生态环境的负面影响；保证工程质量和进度；为群众提供更多的优质的生态产品。</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35000</w:t>
            </w: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3000</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73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32000</w:t>
            </w:r>
          </w:p>
        </w:tc>
        <w:tc>
          <w:tcPr>
            <w:tcW w:w="9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bl>
    <w:p/>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Times New Roman"/>
        <w:kern w:val="2"/>
        <w:sz w:val="18"/>
        <w:szCs w:val="24"/>
        <w:lang w:val="en-US" w:eastAsia="zh-CN" w:bidi="ar-SA"/>
      </w:rPr>
      <w:pict>
        <v:rect id="文本框 1" o:spid="_x0000_s1025" style="position:absolute;left:0;margin-left:390.8pt;margin-top:0pt;height:144pt;width:51.45pt;mso-position-horizontal-relative:margin;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ind w:left="280" w:hanging="280" w:hanging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69DD7845"/>
    <w:rsid w:val="035D01C4"/>
    <w:rsid w:val="09316955"/>
    <w:rsid w:val="0F182DF7"/>
    <w:rsid w:val="2B983771"/>
    <w:rsid w:val="3E346336"/>
    <w:rsid w:val="3E801A75"/>
    <w:rsid w:val="43FE1021"/>
    <w:rsid w:val="47754627"/>
    <w:rsid w:val="4887138D"/>
    <w:rsid w:val="69DD7845"/>
    <w:rsid w:val="6CEF497A"/>
    <w:rsid w:val="6F8948D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Style w:val="4"/>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省政府办公厅</Company>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2018-12-13T12:25:00Z</dcterms:created>
  <dc:creator>邝小清</dc:creator>
  <cp:lastModifiedBy>徐金</cp:lastModifiedBy>
  <dcterms:modified xsi:type="dcterms:W3CDTF">2018-12-20T08:09:31Z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