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11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1020"/>
        <w:gridCol w:w="720"/>
        <w:gridCol w:w="5430"/>
        <w:gridCol w:w="960"/>
        <w:gridCol w:w="127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830" w:type="dxa"/>
            <w:gridSpan w:val="2"/>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SA"/>
              </w:rPr>
              <w:t>附件</w:t>
            </w:r>
            <w:r>
              <w:rPr>
                <w:rFonts w:hint="eastAsia" w:ascii="宋体" w:hAnsi="宋体" w:cs="宋体"/>
                <w:i w:val="0"/>
                <w:color w:val="000000"/>
                <w:kern w:val="0"/>
                <w:sz w:val="28"/>
                <w:szCs w:val="28"/>
                <w:u w:val="none"/>
                <w:lang w:val="en-US" w:eastAsia="zh-CN" w:bidi="ar-SA"/>
              </w:rPr>
              <w:t>5：</w:t>
            </w:r>
          </w:p>
        </w:tc>
        <w:tc>
          <w:tcPr>
            <w:tcW w:w="9405" w:type="dxa"/>
            <w:gridSpan w:val="5"/>
            <w:vAlign w:val="center"/>
          </w:tcPr>
          <w:p>
            <w:pPr>
              <w:jc w:val="left"/>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235" w:type="dxa"/>
            <w:gridSpan w:val="7"/>
            <w:vMerge w:val="restart"/>
            <w:vAlign w:val="center"/>
          </w:tcPr>
          <w:p>
            <w:pPr>
              <w:widowControl/>
              <w:spacing w:line="240" w:lineRule="auto"/>
              <w:jc w:val="center"/>
              <w:textAlignment w:val="center"/>
              <w:rPr>
                <w:rFonts w:hint="eastAsia" w:ascii="宋体" w:hAnsi="宋体" w:eastAsia="宋体" w:cs="宋体"/>
                <w:b/>
                <w:i w:val="0"/>
                <w:color w:val="000000"/>
                <w:kern w:val="0"/>
                <w:sz w:val="44"/>
                <w:szCs w:val="44"/>
                <w:u w:val="none"/>
                <w:lang w:val="en-US" w:eastAsia="zh-CN" w:bidi="ar-SA"/>
              </w:rPr>
            </w:pPr>
            <w:r>
              <w:rPr>
                <w:rFonts w:hint="eastAsia" w:ascii="宋体" w:hAnsi="宋体" w:eastAsia="宋体" w:cs="宋体"/>
                <w:b/>
                <w:i w:val="0"/>
                <w:color w:val="000000"/>
                <w:kern w:val="0"/>
                <w:sz w:val="44"/>
                <w:szCs w:val="44"/>
                <w:u w:val="none"/>
                <w:lang w:val="en-US" w:eastAsia="zh-CN" w:bidi="ar-SA"/>
              </w:rPr>
              <w:t>2019年自然资源事务</w:t>
            </w:r>
          </w:p>
          <w:p>
            <w:pPr>
              <w:widowControl/>
              <w:spacing w:line="24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44"/>
                <w:szCs w:val="44"/>
                <w:u w:val="none"/>
                <w:lang w:val="en-US" w:eastAsia="zh-CN" w:bidi="ar-SA"/>
              </w:rPr>
              <w:t>（广东省绿色矿山建设项目）专项资金分配方案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1235" w:type="dxa"/>
            <w:gridSpan w:val="7"/>
            <w:vMerge w:val="continue"/>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1235" w:type="dxa"/>
            <w:gridSpan w:val="7"/>
            <w:vAlign w:val="center"/>
          </w:tcPr>
          <w:p>
            <w:pPr>
              <w:widowControl/>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地区</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合计计划奖励资金</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序号</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矿山名称</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类型</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kern w:val="0"/>
                <w:sz w:val="24"/>
                <w:szCs w:val="24"/>
                <w:u w:val="none"/>
                <w:lang w:val="en-US" w:eastAsia="zh-CN" w:bidi="ar-SA"/>
              </w:rPr>
            </w:pPr>
            <w:r>
              <w:rPr>
                <w:rFonts w:hint="eastAsia" w:ascii="仿宋" w:hAnsi="仿宋" w:eastAsia="仿宋" w:cs="仿宋"/>
                <w:b/>
                <w:i w:val="0"/>
                <w:color w:val="000000"/>
                <w:kern w:val="0"/>
                <w:sz w:val="24"/>
                <w:szCs w:val="24"/>
                <w:u w:val="none"/>
                <w:lang w:val="en-US" w:eastAsia="zh-CN" w:bidi="ar-SA"/>
              </w:rPr>
              <w:t>计划奖励</w:t>
            </w:r>
          </w:p>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资金</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广州</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广州市银象石材有限公司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广州景田食品饮料有限公司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从化流溪温泉旅游度假区塘料开采区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 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深圳</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深圳达能益力泉饮品有限公司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珠海</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珠海市平沙孖髻山矿泉水有限公司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港中旅（珠海）海洋温泉有限公司平沙温泉</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汕头</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汕头市民生矿泉水厂有限公司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汕头市澄海区莲花山地热水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汕头市金平区贤群采石场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佛山</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佛山市高明碧露矿泉水厂有限公司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佛山市高明区三千尺矿泉水厂有限公司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韶关</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135</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韶关市曲江区南宝山矿泉水有限公司塔子坳饮用天然矿泉水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韶关市曲江区枫日泉生态温泉渡假村</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韶关市曲江曹溪温泉假日度假村有限公司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乳源瑶族自治县丽宫温矿泉有限公司侯公渡青岗地热水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乳源县大桥镇温汤温泉</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韶关奥威斯酒店有限公司龙华山温泉</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仁化县年兆矿业有限责任公司灵溪寨背坑铅锌矿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仁化县岭田萤石矿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非金属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广东省仁化县丹霞街道办深塘（北）矿区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非金属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河源</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210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河源市广润投资有限公司高埔岗地热水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广东省连平县大尖山铅锌矿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鼓励绿色矿业发展示范区建设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连平县元善镇引玉矿区砖瓦用页岩矿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非金属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和平县和平温泉之都有限公司南湖温泉</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紫金县水墩镇磨子石石材矿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东源县仙塘镇观塘村石场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龙川县老隆镇板塘石场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梅州</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梅州市文华矿山有限公司黄前岌石灰石矿场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蕉岭县皇马矿业有限公司石灰坑石场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30</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蕉岭县新铺镇油坑大石湖石场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梅州市梅县区雁洋永福石盘下石场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梅州市梅县区雁洋建材有限公司石场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梅州市梅县区城东镇县祥石场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梅州市梅县区昇城矿业有限公司城东铅山石场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平远彦建荣矿业有限公司东华岩铁矿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五华县平兴土石方工程有限公司中洞石场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五华县宝联石业有限公司近江黄蜂嶂石场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惠州</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惠东县梁化鸡龙山石灰岩石场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惠东县铄金矿产品开发有限公司安墩珠湖萤矿场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非金属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龙门仙池温泉度假有限公司赖屋地热水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龙门县地派镇汤泉山庄地热水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龙门南昆山温泉旅游大观园有限公司永汉钟山下地热水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达能益力（惠州）饮品有限公司龙门县嘉泉矿泉水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惠州市惠阳华茂石场有限公司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博罗县湖镇恒建石材有限公司罗口顺石场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博罗县新宏兴石材开发有限公司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博罗县鸿辉石料有限公司新作塘石场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东莞</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东莞市中堂东腾盐矿开发有限公司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非金属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中山</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中山市中盛矿泉水有限公司双合山矿泉水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50</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中山市粤山泉矿泉水有限公司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江门</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315</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江门市蓬江区积溪石场有限公司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表扬先进市采石场建设工作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江门市新会区大泽永鑫石业有限公司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江门市文丰石业有限公司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台山市四九镇南村二石场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开平市百信矿业投资有限公司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开平市钦源石材有限公司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鹤山市恒运石业有限公司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1"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阳江</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spacing w:after="200" w:afterAutospacing="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阳春海螺水泥有限责任公司马留桥水泥用石灰岩矿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华润水泥（阳春）有限公司春湾镇鱼叉尾水泥用石灰石矿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60</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阳江市阳东区新洲镇上六陶瓷用二长花岗岩矿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非金属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阳西县塘口镇周南地热水矿采矿权</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阳江市阳东区金星矿业有限公司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阳江市阳东区北惯镇兴安矿业有限公司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湛江</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广东画景饮料有限公司覃斗矿泉水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湛江市坡头区金垌石料有限公司官渡镇白石垌建筑用花岗岩矿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广东省遂溪县洋青桔仔树矿区建筑用砂矿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非金属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茂名</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茂名嘉隆矿业有限公司信宜市东镇（四海）南国石场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高州市新德矿业有限公司横垭坳石场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茂名市中天矿业有限公司电白区霞洞镇永乐黄岭头岭矿区建筑用混合岩矿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70</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高州市华盈矿业有限公司南塘镇蓝田建华石场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化州市那务镇银泉渡假村有限公司新时代温泉</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地热</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广东甘纯氏食品饮料有限公司甘纯氏矿泉水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肇庆</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625</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华润水泥（封开）有限公司河儿口镇大旺塘石场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表扬先进市采石场建设工作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德庆县官圩荷木岭石业有限公司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德庆县粤盈石业有限公司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德庆县天宇采石有限公司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德庆县九市镇德鑫石矿有限公司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德庆县悦城石井石业有限公司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德庆县罗洪石矿场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80</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肇庆市高要区华茂石业有限公司亨达石矿场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肇庆市高要区永利石场有限公司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肇庆市高要区莲塘镇银山石业有限公司磨刀坑花岗岩石场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四会市联进石场有限责任公司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四会市坚坑石场有限公司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四会市前进石场有限公司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广宁县潭布镇满塘矿业有限公司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非金属</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清远</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连州市大路边昌华矿业有限公司大理岩、硅灰岩矿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广东省清新水泥有限公司隔圳村矿区水泥用石灰岩矿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英德市徐其修矿泉水有限公司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90</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英德龙山水泥有限责任公司龙尾山水泥用石灰岩矿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潮州</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91</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潮州市潮宝矿泉水实业有限公司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矿泉水</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暂不奖励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92</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潮州饶平县龙过凤采石场有限公司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揭阳</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93</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揭西县龙潭镇泉水塘村伯公坪采石场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云浮</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315</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94</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云浮市杨柳关塘石场有限公司关塘石场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表扬先进市采石场建设工作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95</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云浮市和力石料有限公司云安区都杨镇新世友石场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96</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云浮市兴迅石料有限公司兴迅花岗岩石场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97</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云浮市新祥晖石业有限公司都杨祥顺石场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98</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云浮市力拓石业有限公司都杨石矿场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99</w:t>
            </w:r>
          </w:p>
        </w:tc>
        <w:tc>
          <w:tcPr>
            <w:tcW w:w="5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云浮市金</w:t>
            </w:r>
            <w:r>
              <w:rPr>
                <w:rStyle w:val="4"/>
                <w:rFonts w:hint="eastAsia" w:ascii="仿宋" w:hAnsi="仿宋" w:eastAsia="仿宋" w:cs="仿宋"/>
                <w:sz w:val="24"/>
                <w:szCs w:val="24"/>
                <w:lang w:val="en-US" w:eastAsia="zh-CN" w:bidi="ar-SA"/>
              </w:rPr>
              <w:t>昇石料有限公司都杨镇官坑祥盛石场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72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100</w:t>
            </w:r>
          </w:p>
        </w:tc>
        <w:tc>
          <w:tcPr>
            <w:tcW w:w="54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罗定市兴盛石料有限公司华展石场</w:t>
            </w:r>
          </w:p>
        </w:tc>
        <w:tc>
          <w:tcPr>
            <w:tcW w:w="96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采石场</w:t>
            </w:r>
          </w:p>
        </w:tc>
        <w:tc>
          <w:tcPr>
            <w:tcW w:w="127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SA"/>
              </w:rPr>
              <w:t>总计</w:t>
            </w:r>
          </w:p>
        </w:tc>
        <w:tc>
          <w:tcPr>
            <w:tcW w:w="1042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235" w:type="dxa"/>
            <w:gridSpan w:val="7"/>
            <w:vAlign w:val="center"/>
          </w:tcPr>
          <w:p>
            <w:pPr>
              <w:widowControl/>
              <w:jc w:val="left"/>
              <w:textAlignment w:val="center"/>
              <w:rPr>
                <w:rFonts w:hint="eastAsia" w:ascii="宋体" w:hAnsi="宋体" w:eastAsia="宋体" w:cs="宋体"/>
                <w:i w:val="0"/>
                <w:color w:val="000000"/>
                <w:sz w:val="20"/>
                <w:szCs w:val="20"/>
                <w:u w:val="none"/>
              </w:rPr>
            </w:pPr>
            <w:r>
              <w:rPr>
                <w:rFonts w:hint="eastAsia" w:ascii="仿宋" w:hAnsi="仿宋" w:eastAsia="仿宋" w:cs="仿宋"/>
                <w:i w:val="0"/>
                <w:color w:val="000000"/>
                <w:kern w:val="0"/>
                <w:sz w:val="24"/>
                <w:szCs w:val="24"/>
                <w:u w:val="none"/>
                <w:lang w:val="en-US" w:eastAsia="zh-CN" w:bidi="ar-SA"/>
              </w:rPr>
              <w:t>注：非金属即非金属固体矿山（非采石场）简称。采石场60个，非金属8个，金属3个，矿泉水14个，地热15个。</w:t>
            </w:r>
          </w:p>
        </w:tc>
      </w:tr>
    </w:tbl>
    <w:p>
      <w:pPr>
        <w:sectPr>
          <w:pgSz w:w="11906" w:h="16838"/>
          <w:pgMar w:top="1440" w:right="567" w:bottom="1440" w:left="340" w:header="851" w:footer="992" w:gutter="0"/>
          <w:cols w:space="720" w:num="1"/>
          <w:rtlGutter w:val="0"/>
          <w:docGrid w:type="lines" w:linePitch="312" w:charSpace="0"/>
        </w:sectPr>
      </w:pPr>
    </w:p>
    <w:tbl>
      <w:tblPr>
        <w:tblStyle w:val="3"/>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95"/>
        <w:gridCol w:w="1320"/>
        <w:gridCol w:w="1506"/>
        <w:gridCol w:w="2883"/>
        <w:gridCol w:w="3816"/>
        <w:gridCol w:w="830"/>
        <w:gridCol w:w="728"/>
        <w:gridCol w:w="182"/>
        <w:gridCol w:w="870"/>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740" w:type="dxa"/>
            <w:gridSpan w:val="10"/>
            <w:vAlign w:val="center"/>
          </w:tcPr>
          <w:p>
            <w:pPr>
              <w:widowControl/>
              <w:jc w:val="center"/>
              <w:textAlignment w:val="center"/>
              <w:rPr>
                <w:rFonts w:ascii="方正小标宋简体" w:hAnsi="方正小标宋简体" w:eastAsia="方正小标宋简体" w:cs="方正小标宋简体"/>
                <w:i w:val="0"/>
                <w:color w:val="000000"/>
                <w:sz w:val="48"/>
                <w:szCs w:val="48"/>
                <w:u w:val="none"/>
              </w:rPr>
            </w:pPr>
            <w:r>
              <w:rPr>
                <w:rFonts w:hint="eastAsia" w:ascii="宋体" w:hAnsi="宋体" w:eastAsia="宋体" w:cs="宋体"/>
                <w:b/>
                <w:bCs/>
                <w:i w:val="0"/>
                <w:color w:val="000000"/>
                <w:kern w:val="0"/>
                <w:sz w:val="44"/>
                <w:szCs w:val="44"/>
                <w:u w:val="none"/>
                <w:lang w:val="en-US" w:eastAsia="zh-CN" w:bidi="ar-SA"/>
              </w:rPr>
              <w:t>2019年自然资源</w:t>
            </w:r>
            <w:bookmarkStart w:id="0" w:name="_GoBack"/>
            <w:bookmarkEnd w:id="0"/>
            <w:r>
              <w:rPr>
                <w:rFonts w:hint="eastAsia" w:ascii="宋体" w:hAnsi="宋体" w:eastAsia="宋体" w:cs="宋体"/>
                <w:b/>
                <w:bCs/>
                <w:i w:val="0"/>
                <w:color w:val="000000"/>
                <w:kern w:val="0"/>
                <w:sz w:val="44"/>
                <w:szCs w:val="44"/>
                <w:u w:val="none"/>
                <w:lang w:val="en-US" w:eastAsia="zh-CN" w:bidi="ar-SA"/>
              </w:rPr>
              <w:t>事务（广东省绿色矿山建设项目）目录清单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95" w:type="dxa"/>
            <w:vAlign w:val="center"/>
          </w:tcPr>
          <w:p>
            <w:pPr>
              <w:rPr>
                <w:rFonts w:hint="eastAsia" w:ascii="宋体" w:hAnsi="宋体" w:eastAsia="宋体" w:cs="宋体"/>
                <w:i w:val="0"/>
                <w:color w:val="000000"/>
                <w:sz w:val="22"/>
                <w:szCs w:val="22"/>
                <w:u w:val="none"/>
              </w:rPr>
            </w:pPr>
          </w:p>
        </w:tc>
        <w:tc>
          <w:tcPr>
            <w:tcW w:w="1320" w:type="dxa"/>
            <w:vAlign w:val="center"/>
          </w:tcPr>
          <w:p>
            <w:pPr>
              <w:rPr>
                <w:rFonts w:hint="eastAsia" w:ascii="宋体" w:hAnsi="宋体" w:eastAsia="宋体" w:cs="宋体"/>
                <w:i w:val="0"/>
                <w:color w:val="000000"/>
                <w:sz w:val="22"/>
                <w:szCs w:val="22"/>
                <w:u w:val="none"/>
              </w:rPr>
            </w:pPr>
          </w:p>
        </w:tc>
        <w:tc>
          <w:tcPr>
            <w:tcW w:w="1506" w:type="dxa"/>
            <w:vAlign w:val="center"/>
          </w:tcPr>
          <w:p>
            <w:pPr>
              <w:rPr>
                <w:rFonts w:hint="eastAsia" w:ascii="宋体" w:hAnsi="宋体" w:eastAsia="宋体" w:cs="宋体"/>
                <w:i w:val="0"/>
                <w:color w:val="000000"/>
                <w:sz w:val="22"/>
                <w:szCs w:val="22"/>
                <w:u w:val="none"/>
              </w:rPr>
            </w:pPr>
          </w:p>
        </w:tc>
        <w:tc>
          <w:tcPr>
            <w:tcW w:w="2883" w:type="dxa"/>
            <w:vAlign w:val="center"/>
          </w:tcPr>
          <w:p>
            <w:pPr>
              <w:rPr>
                <w:rFonts w:hint="eastAsia" w:ascii="宋体" w:hAnsi="宋体" w:eastAsia="宋体" w:cs="宋体"/>
                <w:i w:val="0"/>
                <w:color w:val="000000"/>
                <w:sz w:val="22"/>
                <w:szCs w:val="22"/>
                <w:u w:val="none"/>
              </w:rPr>
            </w:pPr>
          </w:p>
        </w:tc>
        <w:tc>
          <w:tcPr>
            <w:tcW w:w="3816" w:type="dxa"/>
            <w:vAlign w:val="center"/>
          </w:tcPr>
          <w:p>
            <w:pPr>
              <w:rPr>
                <w:rFonts w:hint="eastAsia" w:ascii="宋体" w:hAnsi="宋体" w:eastAsia="宋体" w:cs="宋体"/>
                <w:i w:val="0"/>
                <w:color w:val="000000"/>
                <w:sz w:val="22"/>
                <w:szCs w:val="22"/>
                <w:u w:val="none"/>
              </w:rPr>
            </w:pPr>
          </w:p>
        </w:tc>
        <w:tc>
          <w:tcPr>
            <w:tcW w:w="830" w:type="dxa"/>
            <w:vAlign w:val="center"/>
          </w:tcPr>
          <w:p>
            <w:pPr>
              <w:rPr>
                <w:rFonts w:hint="eastAsia" w:ascii="宋体" w:hAnsi="宋体" w:eastAsia="宋体" w:cs="宋体"/>
                <w:i w:val="0"/>
                <w:color w:val="000000"/>
                <w:sz w:val="22"/>
                <w:szCs w:val="22"/>
                <w:u w:val="none"/>
              </w:rPr>
            </w:pPr>
          </w:p>
        </w:tc>
        <w:tc>
          <w:tcPr>
            <w:tcW w:w="728" w:type="dxa"/>
            <w:vAlign w:val="center"/>
          </w:tcPr>
          <w:p>
            <w:pPr>
              <w:rPr>
                <w:rFonts w:hint="eastAsia" w:ascii="宋体" w:hAnsi="宋体" w:eastAsia="宋体" w:cs="宋体"/>
                <w:i w:val="0"/>
                <w:color w:val="000000"/>
                <w:sz w:val="22"/>
                <w:szCs w:val="22"/>
                <w:u w:val="none"/>
              </w:rPr>
            </w:pPr>
          </w:p>
        </w:tc>
        <w:tc>
          <w:tcPr>
            <w:tcW w:w="1052" w:type="dxa"/>
            <w:gridSpan w:val="2"/>
            <w:vAlign w:val="center"/>
          </w:tcPr>
          <w:p>
            <w:pPr>
              <w:rPr>
                <w:rFonts w:hint="eastAsia" w:ascii="宋体" w:hAnsi="宋体" w:eastAsia="宋体" w:cs="宋体"/>
                <w:i w:val="0"/>
                <w:color w:val="000000"/>
                <w:sz w:val="22"/>
                <w:szCs w:val="22"/>
                <w:u w:val="none"/>
              </w:rPr>
            </w:pPr>
          </w:p>
        </w:tc>
        <w:tc>
          <w:tcPr>
            <w:tcW w:w="1310" w:type="dxa"/>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战略事权</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财政事权</w:t>
            </w:r>
          </w:p>
        </w:tc>
        <w:tc>
          <w:tcPr>
            <w:tcW w:w="15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政策任务</w:t>
            </w:r>
          </w:p>
        </w:tc>
        <w:tc>
          <w:tcPr>
            <w:tcW w:w="28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主要用途</w:t>
            </w:r>
          </w:p>
        </w:tc>
        <w:tc>
          <w:tcPr>
            <w:tcW w:w="38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绩效目标</w:t>
            </w:r>
          </w:p>
        </w:tc>
        <w:tc>
          <w:tcPr>
            <w:tcW w:w="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资金额度</w:t>
            </w:r>
          </w:p>
        </w:tc>
        <w:tc>
          <w:tcPr>
            <w:tcW w:w="17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审批权限设置</w:t>
            </w:r>
          </w:p>
        </w:tc>
        <w:tc>
          <w:tcPr>
            <w:tcW w:w="131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5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2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38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保留省级审批</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SA"/>
              </w:rPr>
              <w:t>下放</w:t>
            </w: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市县</w:t>
            </w:r>
          </w:p>
        </w:tc>
        <w:tc>
          <w:tcPr>
            <w:tcW w:w="131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0" w:hRule="atLeast"/>
        </w:trPr>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SA"/>
              </w:rPr>
              <w:t>自然资源及海洋事务专项资金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地质矿产勘查及治理</w:t>
            </w:r>
          </w:p>
        </w:tc>
        <w:tc>
          <w:tcPr>
            <w:tcW w:w="1506"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广东省绿色矿山建设项目</w:t>
            </w:r>
          </w:p>
        </w:tc>
        <w:tc>
          <w:tcPr>
            <w:tcW w:w="28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对2018年建成的取得显著成效的绿色矿山进行奖励。</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2018年建成100个绿色矿山。到2020年全省建成250个绿色矿山，基本形成符合生态文明建设要求，节约高效、环境友好、矿地和谐的绿色矿业发展模式。新建矿山全部达到绿色矿山建设要求，生产矿山加快改造升级，逐步达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3000</w:t>
            </w:r>
          </w:p>
        </w:tc>
        <w:tc>
          <w:tcPr>
            <w:tcW w:w="9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3000</w:t>
            </w:r>
          </w:p>
        </w:tc>
        <w:tc>
          <w:tcPr>
            <w:tcW w:w="13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sectPr>
      <w:pgSz w:w="16838" w:h="11906" w:orient="landscape"/>
      <w:pgMar w:top="1701" w:right="1134" w:bottom="567" w:left="1020" w:header="851" w:footer="992" w:gutter="0"/>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DC15DD1"/>
    <w:rsid w:val="14B36FB6"/>
    <w:rsid w:val="17CF48E8"/>
    <w:rsid w:val="29F74045"/>
    <w:rsid w:val="49FC597F"/>
    <w:rsid w:val="4DC15DD1"/>
    <w:rsid w:val="4F051CB4"/>
    <w:rsid w:val="54ED6819"/>
    <w:rsid w:val="5F462890"/>
    <w:rsid w:val="61047E97"/>
    <w:rsid w:val="7BCA1C9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unhideWhenUsed/>
    <w:uiPriority w:val="0"/>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 w:type="character" w:customStyle="1" w:styleId="4">
    <w:name w:val="font2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4</Pages>
  <Words>2411</Words>
  <Characters>2606</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2018-12-14T02:26:00Z</dcterms:created>
  <dc:creator>徐金</dc:creator>
  <cp:lastModifiedBy>徐金</cp:lastModifiedBy>
  <dcterms:modified xsi:type="dcterms:W3CDTF">2018-12-20T07:46:18Z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